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3" w:rsidRPr="00673CCA" w:rsidRDefault="002C2D3D" w:rsidP="00A062D3">
      <w:pPr>
        <w:jc w:val="center"/>
        <w:rPr>
          <w:rFonts w:ascii="Calibri" w:hAnsi="Calibri" w:cs="Calibri"/>
          <w:b/>
          <w:sz w:val="22"/>
          <w:szCs w:val="22"/>
        </w:rPr>
      </w:pPr>
      <w:bookmarkStart w:id="0" w:name="_GoBack"/>
      <w:bookmarkEnd w:id="0"/>
      <w:r w:rsidRPr="00673CCA">
        <w:rPr>
          <w:rFonts w:ascii="Calibri" w:hAnsi="Calibri" w:cs="Calibri"/>
          <w:b/>
          <w:sz w:val="22"/>
          <w:szCs w:val="22"/>
        </w:rPr>
        <w:t>COMPLETION</w:t>
      </w:r>
      <w:r w:rsidR="00A062D3" w:rsidRPr="00673CCA">
        <w:rPr>
          <w:rFonts w:ascii="Calibri" w:hAnsi="Calibri" w:cs="Calibri"/>
          <w:b/>
          <w:sz w:val="22"/>
          <w:szCs w:val="22"/>
        </w:rPr>
        <w:t xml:space="preserve"> </w:t>
      </w:r>
      <w:r w:rsidRPr="00673CCA">
        <w:rPr>
          <w:rFonts w:ascii="Calibri" w:hAnsi="Calibri" w:cs="Calibri"/>
          <w:b/>
          <w:sz w:val="22"/>
          <w:szCs w:val="22"/>
        </w:rPr>
        <w:t>OF</w:t>
      </w:r>
      <w:r w:rsidR="00A062D3" w:rsidRPr="00673CCA">
        <w:rPr>
          <w:rFonts w:ascii="Calibri" w:hAnsi="Calibri" w:cs="Calibri"/>
          <w:b/>
          <w:sz w:val="22"/>
          <w:szCs w:val="22"/>
        </w:rPr>
        <w:t xml:space="preserve"> THE REVIEW OF THE AUTHORISATION AND CLINICAL GOVERNANCE FRAMEWORK FOR INTRAVENOUS IMMUNOGLOBULIN</w:t>
      </w:r>
    </w:p>
    <w:p w:rsidR="00A062D3" w:rsidRPr="00673CCA" w:rsidRDefault="004B1164" w:rsidP="004B1164">
      <w:pPr>
        <w:tabs>
          <w:tab w:val="left" w:pos="6371"/>
        </w:tabs>
        <w:rPr>
          <w:rFonts w:ascii="Calibri" w:hAnsi="Calibri" w:cs="Calibri"/>
          <w:sz w:val="22"/>
          <w:szCs w:val="22"/>
        </w:rPr>
      </w:pPr>
      <w:r>
        <w:rPr>
          <w:rFonts w:ascii="Calibri" w:hAnsi="Calibri" w:cs="Calibri"/>
          <w:sz w:val="22"/>
          <w:szCs w:val="22"/>
        </w:rPr>
        <w:tab/>
      </w:r>
    </w:p>
    <w:p w:rsidR="00E61051" w:rsidRDefault="00E61051" w:rsidP="00E61051">
      <w:pPr>
        <w:rPr>
          <w:rFonts w:ascii="Calibri" w:hAnsi="Calibri" w:cs="Calibri"/>
          <w:sz w:val="22"/>
          <w:szCs w:val="22"/>
        </w:rPr>
      </w:pPr>
      <w:r w:rsidRPr="00E61051">
        <w:rPr>
          <w:rFonts w:ascii="Calibri" w:hAnsi="Calibri" w:cs="Calibri"/>
          <w:sz w:val="22"/>
          <w:szCs w:val="22"/>
        </w:rPr>
        <w:t xml:space="preserve">The National Blood Authority (NBA), on behalf of all Australian governments under the national blood arrangements, commissioned a review of the adequacy of the current </w:t>
      </w:r>
      <w:r>
        <w:rPr>
          <w:rFonts w:ascii="Calibri" w:hAnsi="Calibri" w:cs="Calibri"/>
          <w:sz w:val="22"/>
          <w:szCs w:val="22"/>
        </w:rPr>
        <w:t>Intravenous Immunoglobulin (IVIg)</w:t>
      </w:r>
      <w:r w:rsidRPr="00E61051">
        <w:rPr>
          <w:rFonts w:ascii="Calibri" w:hAnsi="Calibri" w:cs="Calibri"/>
          <w:sz w:val="22"/>
          <w:szCs w:val="22"/>
        </w:rPr>
        <w:t xml:space="preserve"> authorisation and clinical governance arrangements, with a view to recommending options for improvements to delivering governments’ goals for the management of IVIg. The review also analyse</w:t>
      </w:r>
      <w:r>
        <w:rPr>
          <w:rFonts w:ascii="Calibri" w:hAnsi="Calibri" w:cs="Calibri"/>
          <w:sz w:val="22"/>
          <w:szCs w:val="22"/>
        </w:rPr>
        <w:t>d</w:t>
      </w:r>
      <w:r w:rsidRPr="00E61051">
        <w:rPr>
          <w:rFonts w:ascii="Calibri" w:hAnsi="Calibri" w:cs="Calibri"/>
          <w:sz w:val="22"/>
          <w:szCs w:val="22"/>
        </w:rPr>
        <w:t xml:space="preserve"> the issues, benefits and risks of potentially including Normal Immunoglobulin (</w:t>
      </w:r>
      <w:proofErr w:type="spellStart"/>
      <w:r w:rsidRPr="00E61051">
        <w:rPr>
          <w:rFonts w:ascii="Calibri" w:hAnsi="Calibri" w:cs="Calibri"/>
          <w:sz w:val="22"/>
          <w:szCs w:val="22"/>
        </w:rPr>
        <w:t>NIg</w:t>
      </w:r>
      <w:proofErr w:type="spellEnd"/>
      <w:r w:rsidRPr="00E61051">
        <w:rPr>
          <w:rFonts w:ascii="Calibri" w:hAnsi="Calibri" w:cs="Calibri"/>
          <w:sz w:val="22"/>
          <w:szCs w:val="22"/>
        </w:rPr>
        <w:t>) and Subcutaneous Immunoglobulin (</w:t>
      </w:r>
      <w:proofErr w:type="spellStart"/>
      <w:r w:rsidRPr="00E61051">
        <w:rPr>
          <w:rFonts w:ascii="Calibri" w:hAnsi="Calibri" w:cs="Calibri"/>
          <w:sz w:val="22"/>
          <w:szCs w:val="22"/>
        </w:rPr>
        <w:t>ScIg</w:t>
      </w:r>
      <w:proofErr w:type="spellEnd"/>
      <w:r w:rsidRPr="00E61051">
        <w:rPr>
          <w:rFonts w:ascii="Calibri" w:hAnsi="Calibri" w:cs="Calibri"/>
          <w:sz w:val="22"/>
          <w:szCs w:val="22"/>
        </w:rPr>
        <w:t>) in the IVIg management framework.</w:t>
      </w:r>
    </w:p>
    <w:p w:rsidR="00E61051" w:rsidRDefault="00E61051" w:rsidP="00E61051">
      <w:pPr>
        <w:rPr>
          <w:rFonts w:ascii="Calibri" w:hAnsi="Calibri" w:cs="Calibri"/>
          <w:sz w:val="22"/>
          <w:szCs w:val="22"/>
        </w:rPr>
      </w:pPr>
    </w:p>
    <w:p w:rsidR="00E61051" w:rsidRPr="00E61051" w:rsidRDefault="00E61051" w:rsidP="00E61051">
      <w:pPr>
        <w:rPr>
          <w:rFonts w:ascii="Calibri" w:hAnsi="Calibri" w:cs="Calibri"/>
          <w:sz w:val="22"/>
          <w:szCs w:val="22"/>
        </w:rPr>
      </w:pPr>
      <w:r w:rsidRPr="00E61051">
        <w:rPr>
          <w:rFonts w:ascii="Calibri" w:hAnsi="Calibri" w:cs="Calibri"/>
          <w:sz w:val="22"/>
          <w:szCs w:val="22"/>
        </w:rPr>
        <w:t xml:space="preserve">Governments’ goals for the management of these products are to: </w:t>
      </w:r>
    </w:p>
    <w:p w:rsidR="00E61051" w:rsidRPr="00E61051" w:rsidRDefault="00E61051" w:rsidP="00E61051">
      <w:pPr>
        <w:numPr>
          <w:ilvl w:val="0"/>
          <w:numId w:val="12"/>
        </w:numPr>
        <w:rPr>
          <w:rFonts w:ascii="Calibri" w:hAnsi="Calibri" w:cs="Calibri"/>
          <w:sz w:val="22"/>
          <w:szCs w:val="22"/>
        </w:rPr>
      </w:pPr>
      <w:r w:rsidRPr="00E61051">
        <w:rPr>
          <w:rFonts w:ascii="Calibri" w:hAnsi="Calibri" w:cs="Calibri"/>
          <w:sz w:val="22"/>
          <w:szCs w:val="22"/>
        </w:rPr>
        <w:t xml:space="preserve">ensure that funded immunoglobulin use reflects best clinical practice and is cost effective </w:t>
      </w:r>
    </w:p>
    <w:p w:rsidR="00E61051" w:rsidRPr="00E61051" w:rsidRDefault="00E61051" w:rsidP="00E61051">
      <w:pPr>
        <w:numPr>
          <w:ilvl w:val="0"/>
          <w:numId w:val="12"/>
        </w:numPr>
        <w:rPr>
          <w:rFonts w:ascii="Calibri" w:hAnsi="Calibri" w:cs="Calibri"/>
          <w:sz w:val="22"/>
          <w:szCs w:val="22"/>
        </w:rPr>
      </w:pPr>
      <w:r w:rsidRPr="00E61051">
        <w:rPr>
          <w:rFonts w:ascii="Calibri" w:hAnsi="Calibri" w:cs="Calibri"/>
          <w:sz w:val="22"/>
          <w:szCs w:val="22"/>
        </w:rPr>
        <w:t xml:space="preserve">ensure that the outcomes of decision making regarding access to IVIg funded under the national blood arrangements are consistent with the </w:t>
      </w:r>
      <w:hyperlink r:id="rId9" w:history="1">
        <w:r w:rsidRPr="000A7A64">
          <w:rPr>
            <w:rStyle w:val="Hyperlink"/>
            <w:rFonts w:ascii="Calibri" w:hAnsi="Calibri" w:cs="Calibri"/>
            <w:sz w:val="22"/>
            <w:szCs w:val="22"/>
            <w:u w:val="single"/>
          </w:rPr>
          <w:t>Criteria for the clinical use of intravenous immunoglobulin in Australia</w:t>
        </w:r>
      </w:hyperlink>
      <w:r w:rsidRPr="00E61051">
        <w:rPr>
          <w:rFonts w:ascii="Calibri" w:hAnsi="Calibri" w:cs="Calibri"/>
          <w:sz w:val="22"/>
          <w:szCs w:val="22"/>
        </w:rPr>
        <w:t xml:space="preserve"> (the Criteria) determined by governments </w:t>
      </w:r>
    </w:p>
    <w:p w:rsidR="00E61051" w:rsidRDefault="00E61051" w:rsidP="00E61051">
      <w:pPr>
        <w:numPr>
          <w:ilvl w:val="0"/>
          <w:numId w:val="12"/>
        </w:numPr>
        <w:rPr>
          <w:rFonts w:ascii="Calibri" w:hAnsi="Calibri" w:cs="Calibri"/>
          <w:sz w:val="22"/>
          <w:szCs w:val="22"/>
        </w:rPr>
      </w:pPr>
      <w:proofErr w:type="gramStart"/>
      <w:r w:rsidRPr="00E61051">
        <w:rPr>
          <w:rFonts w:ascii="Calibri" w:hAnsi="Calibri" w:cs="Calibri"/>
          <w:sz w:val="22"/>
          <w:szCs w:val="22"/>
        </w:rPr>
        <w:t>improve</w:t>
      </w:r>
      <w:proofErr w:type="gramEnd"/>
      <w:r w:rsidRPr="00E61051">
        <w:rPr>
          <w:rFonts w:ascii="Calibri" w:hAnsi="Calibri" w:cs="Calibri"/>
          <w:sz w:val="22"/>
          <w:szCs w:val="22"/>
        </w:rPr>
        <w:t xml:space="preserve"> the capture of information on the need for, use and outcomes of treatment with immunoglobulin and to improve the evidence base that will inform future changes as to what is regarded as best practice in immunoglobulin use and prescribing.</w:t>
      </w:r>
    </w:p>
    <w:p w:rsidR="00E61051" w:rsidRPr="00E61051" w:rsidRDefault="00E61051" w:rsidP="00E61051">
      <w:pPr>
        <w:rPr>
          <w:rFonts w:ascii="Calibri" w:hAnsi="Calibri" w:cs="Calibri"/>
          <w:sz w:val="22"/>
          <w:szCs w:val="22"/>
        </w:rPr>
      </w:pPr>
    </w:p>
    <w:p w:rsidR="00E61051" w:rsidRPr="00E61051" w:rsidRDefault="00E61051" w:rsidP="00E61051">
      <w:pPr>
        <w:rPr>
          <w:rFonts w:ascii="Calibri" w:hAnsi="Calibri" w:cs="Calibri"/>
          <w:b/>
          <w:sz w:val="22"/>
          <w:szCs w:val="22"/>
        </w:rPr>
      </w:pPr>
      <w:r w:rsidRPr="00E61051">
        <w:rPr>
          <w:rFonts w:ascii="Calibri" w:hAnsi="Calibri" w:cs="Calibri"/>
          <w:b/>
          <w:sz w:val="22"/>
          <w:szCs w:val="22"/>
        </w:rPr>
        <w:t xml:space="preserve">How the review </w:t>
      </w:r>
      <w:r>
        <w:rPr>
          <w:rFonts w:ascii="Calibri" w:hAnsi="Calibri" w:cs="Calibri"/>
          <w:b/>
          <w:sz w:val="22"/>
          <w:szCs w:val="22"/>
        </w:rPr>
        <w:t>was</w:t>
      </w:r>
      <w:r w:rsidRPr="00E61051">
        <w:rPr>
          <w:rFonts w:ascii="Calibri" w:hAnsi="Calibri" w:cs="Calibri"/>
          <w:b/>
          <w:sz w:val="22"/>
          <w:szCs w:val="22"/>
        </w:rPr>
        <w:t xml:space="preserve"> conducted</w:t>
      </w:r>
    </w:p>
    <w:p w:rsidR="00E61051" w:rsidRPr="00E61051" w:rsidRDefault="00E61051" w:rsidP="00E61051">
      <w:pPr>
        <w:rPr>
          <w:rFonts w:ascii="Calibri" w:hAnsi="Calibri" w:cs="Calibri"/>
          <w:sz w:val="22"/>
          <w:szCs w:val="22"/>
        </w:rPr>
      </w:pPr>
      <w:r w:rsidRPr="00E61051">
        <w:rPr>
          <w:rFonts w:ascii="Calibri" w:hAnsi="Calibri" w:cs="Calibri"/>
          <w:sz w:val="22"/>
          <w:szCs w:val="22"/>
        </w:rPr>
        <w:t xml:space="preserve">The NBA engaged Ernst &amp; Young to </w:t>
      </w:r>
      <w:r>
        <w:rPr>
          <w:rFonts w:ascii="Calibri" w:hAnsi="Calibri" w:cs="Calibri"/>
          <w:sz w:val="22"/>
          <w:szCs w:val="22"/>
        </w:rPr>
        <w:t>conduct the review</w:t>
      </w:r>
      <w:r w:rsidRPr="00E61051">
        <w:rPr>
          <w:rFonts w:ascii="Calibri" w:hAnsi="Calibri" w:cs="Calibri"/>
          <w:sz w:val="22"/>
          <w:szCs w:val="22"/>
        </w:rPr>
        <w:t xml:space="preserve"> in three parts, as follows:</w:t>
      </w:r>
    </w:p>
    <w:p w:rsidR="00E61051" w:rsidRPr="00E61051" w:rsidRDefault="00E61051" w:rsidP="00E61051">
      <w:pPr>
        <w:numPr>
          <w:ilvl w:val="0"/>
          <w:numId w:val="12"/>
        </w:numPr>
        <w:rPr>
          <w:rFonts w:ascii="Calibri" w:hAnsi="Calibri" w:cs="Calibri"/>
          <w:sz w:val="22"/>
          <w:szCs w:val="22"/>
        </w:rPr>
      </w:pPr>
      <w:r w:rsidRPr="00E61051">
        <w:rPr>
          <w:rFonts w:ascii="Calibri" w:hAnsi="Calibri" w:cs="Calibri"/>
          <w:sz w:val="22"/>
          <w:szCs w:val="22"/>
        </w:rPr>
        <w:t xml:space="preserve">Part 1 </w:t>
      </w:r>
      <w:r>
        <w:rPr>
          <w:rFonts w:ascii="Calibri" w:hAnsi="Calibri" w:cs="Calibri"/>
          <w:sz w:val="22"/>
          <w:szCs w:val="22"/>
        </w:rPr>
        <w:t>r</w:t>
      </w:r>
      <w:r w:rsidRPr="00E61051">
        <w:rPr>
          <w:rFonts w:ascii="Calibri" w:hAnsi="Calibri" w:cs="Calibri"/>
          <w:sz w:val="22"/>
          <w:szCs w:val="22"/>
        </w:rPr>
        <w:t>eview</w:t>
      </w:r>
      <w:r>
        <w:rPr>
          <w:rFonts w:ascii="Calibri" w:hAnsi="Calibri" w:cs="Calibri"/>
          <w:sz w:val="22"/>
          <w:szCs w:val="22"/>
        </w:rPr>
        <w:t>ed</w:t>
      </w:r>
      <w:r w:rsidRPr="00E61051">
        <w:rPr>
          <w:rFonts w:ascii="Calibri" w:hAnsi="Calibri" w:cs="Calibri"/>
          <w:sz w:val="22"/>
          <w:szCs w:val="22"/>
        </w:rPr>
        <w:t xml:space="preserve"> and analyse</w:t>
      </w:r>
      <w:r>
        <w:rPr>
          <w:rFonts w:ascii="Calibri" w:hAnsi="Calibri" w:cs="Calibri"/>
          <w:sz w:val="22"/>
          <w:szCs w:val="22"/>
        </w:rPr>
        <w:t>d</w:t>
      </w:r>
      <w:r w:rsidRPr="00E61051">
        <w:rPr>
          <w:rFonts w:ascii="Calibri" w:hAnsi="Calibri" w:cs="Calibri"/>
          <w:sz w:val="22"/>
          <w:szCs w:val="22"/>
        </w:rPr>
        <w:t xml:space="preserve"> the current processes for accessing IVIg and </w:t>
      </w:r>
      <w:proofErr w:type="spellStart"/>
      <w:r w:rsidRPr="00E61051">
        <w:rPr>
          <w:rFonts w:ascii="Calibri" w:hAnsi="Calibri" w:cs="Calibri"/>
          <w:sz w:val="22"/>
          <w:szCs w:val="22"/>
        </w:rPr>
        <w:t>NIg</w:t>
      </w:r>
      <w:proofErr w:type="spellEnd"/>
      <w:r w:rsidRPr="00E61051">
        <w:rPr>
          <w:rFonts w:ascii="Calibri" w:hAnsi="Calibri" w:cs="Calibri"/>
          <w:sz w:val="22"/>
          <w:szCs w:val="22"/>
        </w:rPr>
        <w:t xml:space="preserve"> to determine the extent of compliance, efficiency and satisfaction of all stakeholders with the current IVIg authorisation and clinical governance arrangements. Part 1 </w:t>
      </w:r>
      <w:r>
        <w:rPr>
          <w:rFonts w:ascii="Calibri" w:hAnsi="Calibri" w:cs="Calibri"/>
          <w:sz w:val="22"/>
          <w:szCs w:val="22"/>
        </w:rPr>
        <w:t>also identified</w:t>
      </w:r>
      <w:r w:rsidRPr="00E61051">
        <w:rPr>
          <w:rFonts w:ascii="Calibri" w:hAnsi="Calibri" w:cs="Calibri"/>
          <w:sz w:val="22"/>
          <w:szCs w:val="22"/>
        </w:rPr>
        <w:t xml:space="preserve"> and analyse</w:t>
      </w:r>
      <w:r>
        <w:rPr>
          <w:rFonts w:ascii="Calibri" w:hAnsi="Calibri" w:cs="Calibri"/>
          <w:sz w:val="22"/>
          <w:szCs w:val="22"/>
        </w:rPr>
        <w:t>d</w:t>
      </w:r>
      <w:r w:rsidRPr="00E61051">
        <w:rPr>
          <w:rFonts w:ascii="Calibri" w:hAnsi="Calibri" w:cs="Calibri"/>
          <w:sz w:val="22"/>
          <w:szCs w:val="22"/>
        </w:rPr>
        <w:t xml:space="preserve"> the information and data that is currently available at each step in the process to support decision-making.</w:t>
      </w:r>
    </w:p>
    <w:p w:rsidR="00E61051" w:rsidRPr="00E61051" w:rsidRDefault="00E61051" w:rsidP="00E61051">
      <w:pPr>
        <w:numPr>
          <w:ilvl w:val="0"/>
          <w:numId w:val="12"/>
        </w:numPr>
        <w:rPr>
          <w:rFonts w:ascii="Calibri" w:hAnsi="Calibri" w:cs="Calibri"/>
          <w:sz w:val="22"/>
          <w:szCs w:val="22"/>
        </w:rPr>
      </w:pPr>
      <w:r w:rsidRPr="00E61051">
        <w:rPr>
          <w:rFonts w:ascii="Calibri" w:hAnsi="Calibri" w:cs="Calibri"/>
          <w:sz w:val="22"/>
          <w:szCs w:val="22"/>
        </w:rPr>
        <w:t>Part 2 review</w:t>
      </w:r>
      <w:r>
        <w:rPr>
          <w:rFonts w:ascii="Calibri" w:hAnsi="Calibri" w:cs="Calibri"/>
          <w:sz w:val="22"/>
          <w:szCs w:val="22"/>
        </w:rPr>
        <w:t>ed</w:t>
      </w:r>
      <w:r w:rsidRPr="00E61051">
        <w:rPr>
          <w:rFonts w:ascii="Calibri" w:hAnsi="Calibri" w:cs="Calibri"/>
          <w:sz w:val="22"/>
          <w:szCs w:val="22"/>
        </w:rPr>
        <w:t xml:space="preserve"> and analyse</w:t>
      </w:r>
      <w:r>
        <w:rPr>
          <w:rFonts w:ascii="Calibri" w:hAnsi="Calibri" w:cs="Calibri"/>
          <w:sz w:val="22"/>
          <w:szCs w:val="22"/>
        </w:rPr>
        <w:t>d</w:t>
      </w:r>
      <w:r w:rsidRPr="00E61051">
        <w:rPr>
          <w:rFonts w:ascii="Calibri" w:hAnsi="Calibri" w:cs="Calibri"/>
          <w:sz w:val="22"/>
          <w:szCs w:val="22"/>
        </w:rPr>
        <w:t xml:space="preserve"> clinicians</w:t>
      </w:r>
      <w:r>
        <w:rPr>
          <w:rFonts w:ascii="Calibri" w:hAnsi="Calibri" w:cs="Calibri"/>
          <w:sz w:val="22"/>
          <w:szCs w:val="22"/>
        </w:rPr>
        <w:t>’</w:t>
      </w:r>
      <w:r w:rsidRPr="00E61051">
        <w:rPr>
          <w:rFonts w:ascii="Calibri" w:hAnsi="Calibri" w:cs="Calibri"/>
          <w:sz w:val="22"/>
          <w:szCs w:val="22"/>
        </w:rPr>
        <w:t xml:space="preserve"> IVIg and </w:t>
      </w:r>
      <w:proofErr w:type="spellStart"/>
      <w:r w:rsidRPr="00E61051">
        <w:rPr>
          <w:rFonts w:ascii="Calibri" w:hAnsi="Calibri" w:cs="Calibri"/>
          <w:sz w:val="22"/>
          <w:szCs w:val="22"/>
        </w:rPr>
        <w:t>NIg</w:t>
      </w:r>
      <w:proofErr w:type="spellEnd"/>
      <w:r w:rsidRPr="00E61051">
        <w:rPr>
          <w:rFonts w:ascii="Calibri" w:hAnsi="Calibri" w:cs="Calibri"/>
          <w:sz w:val="22"/>
          <w:szCs w:val="22"/>
        </w:rPr>
        <w:t xml:space="preserve"> prescribing and patient treatment review practices and compare</w:t>
      </w:r>
      <w:r>
        <w:rPr>
          <w:rFonts w:ascii="Calibri" w:hAnsi="Calibri" w:cs="Calibri"/>
          <w:sz w:val="22"/>
          <w:szCs w:val="22"/>
        </w:rPr>
        <w:t>d</w:t>
      </w:r>
      <w:r w:rsidRPr="00E61051">
        <w:rPr>
          <w:rFonts w:ascii="Calibri" w:hAnsi="Calibri" w:cs="Calibri"/>
          <w:sz w:val="22"/>
          <w:szCs w:val="22"/>
        </w:rPr>
        <w:t xml:space="preserve"> these to known practices and attitudes in prescribing other blood products and high cost therapeutic products.</w:t>
      </w:r>
    </w:p>
    <w:p w:rsidR="00E61051" w:rsidRPr="00E61051" w:rsidRDefault="00E61051" w:rsidP="00E61051">
      <w:pPr>
        <w:numPr>
          <w:ilvl w:val="0"/>
          <w:numId w:val="12"/>
        </w:numPr>
        <w:rPr>
          <w:rFonts w:ascii="Calibri" w:hAnsi="Calibri" w:cs="Calibri"/>
          <w:sz w:val="22"/>
          <w:szCs w:val="22"/>
        </w:rPr>
      </w:pPr>
      <w:r w:rsidRPr="00E61051">
        <w:rPr>
          <w:rFonts w:ascii="Calibri" w:hAnsi="Calibri" w:cs="Calibri"/>
          <w:sz w:val="22"/>
          <w:szCs w:val="22"/>
        </w:rPr>
        <w:t xml:space="preserve">Part 3 </w:t>
      </w:r>
      <w:r>
        <w:rPr>
          <w:rFonts w:ascii="Calibri" w:hAnsi="Calibri" w:cs="Calibri"/>
          <w:sz w:val="22"/>
          <w:szCs w:val="22"/>
        </w:rPr>
        <w:t>drew</w:t>
      </w:r>
      <w:r w:rsidRPr="00E61051">
        <w:rPr>
          <w:rFonts w:ascii="Calibri" w:hAnsi="Calibri" w:cs="Calibri"/>
          <w:sz w:val="22"/>
          <w:szCs w:val="22"/>
        </w:rPr>
        <w:t xml:space="preserve"> on the findings of Parts 1 and 2</w:t>
      </w:r>
      <w:r>
        <w:rPr>
          <w:rFonts w:ascii="Calibri" w:hAnsi="Calibri" w:cs="Calibri"/>
          <w:sz w:val="22"/>
          <w:szCs w:val="22"/>
        </w:rPr>
        <w:t>,</w:t>
      </w:r>
      <w:r w:rsidRPr="00E61051">
        <w:rPr>
          <w:rFonts w:ascii="Calibri" w:hAnsi="Calibri" w:cs="Calibri"/>
          <w:sz w:val="22"/>
          <w:szCs w:val="22"/>
        </w:rPr>
        <w:t xml:space="preserve"> and taking this information and other research and consultation advice into account</w:t>
      </w:r>
      <w:r>
        <w:rPr>
          <w:rFonts w:ascii="Calibri" w:hAnsi="Calibri" w:cs="Calibri"/>
          <w:sz w:val="22"/>
          <w:szCs w:val="22"/>
        </w:rPr>
        <w:t>,</w:t>
      </w:r>
      <w:r w:rsidRPr="00E61051">
        <w:rPr>
          <w:rFonts w:ascii="Calibri" w:hAnsi="Calibri" w:cs="Calibri"/>
          <w:sz w:val="22"/>
          <w:szCs w:val="22"/>
        </w:rPr>
        <w:t xml:space="preserve"> develop</w:t>
      </w:r>
      <w:r>
        <w:rPr>
          <w:rFonts w:ascii="Calibri" w:hAnsi="Calibri" w:cs="Calibri"/>
          <w:sz w:val="22"/>
          <w:szCs w:val="22"/>
        </w:rPr>
        <w:t>ed</w:t>
      </w:r>
      <w:r w:rsidRPr="00E61051">
        <w:rPr>
          <w:rFonts w:ascii="Calibri" w:hAnsi="Calibri" w:cs="Calibri"/>
          <w:sz w:val="22"/>
          <w:szCs w:val="22"/>
        </w:rPr>
        <w:t xml:space="preserve"> options for a nationally consistent authorisation and clinical governance framework.</w:t>
      </w:r>
    </w:p>
    <w:p w:rsidR="00C4181D" w:rsidRDefault="00C4181D" w:rsidP="00A062D3">
      <w:pPr>
        <w:rPr>
          <w:rFonts w:ascii="Helv" w:eastAsia="Calibri" w:hAnsi="Helv" w:cs="Helv"/>
          <w:color w:val="000000"/>
          <w:sz w:val="20"/>
        </w:rPr>
      </w:pPr>
    </w:p>
    <w:p w:rsidR="0099095D" w:rsidRPr="0099095D" w:rsidRDefault="00505D2D" w:rsidP="0099095D">
      <w:pPr>
        <w:rPr>
          <w:rFonts w:ascii="Calibri" w:hAnsi="Calibri" w:cs="Calibri"/>
          <w:sz w:val="22"/>
          <w:szCs w:val="22"/>
        </w:rPr>
      </w:pPr>
      <w:r>
        <w:rPr>
          <w:rFonts w:ascii="Calibri" w:hAnsi="Calibri" w:cs="Calibri"/>
          <w:sz w:val="22"/>
          <w:szCs w:val="22"/>
        </w:rPr>
        <w:t xml:space="preserve">The review included a significant amount of consultation with clinicians, nurses, scientists, jurisdictional health departments, and other stakeholders, including surveys and structured interviews and group discussions.  </w:t>
      </w:r>
      <w:r w:rsidR="0099095D" w:rsidRPr="0099095D">
        <w:rPr>
          <w:rFonts w:ascii="Calibri" w:hAnsi="Calibri" w:cs="Calibri"/>
          <w:sz w:val="22"/>
          <w:szCs w:val="22"/>
        </w:rPr>
        <w:t>Thr</w:t>
      </w:r>
      <w:r w:rsidR="0099095D">
        <w:rPr>
          <w:rFonts w:ascii="Calibri" w:hAnsi="Calibri" w:cs="Calibri"/>
          <w:sz w:val="22"/>
          <w:szCs w:val="22"/>
        </w:rPr>
        <w:t xml:space="preserve">oughout the review process, Ernst and Young </w:t>
      </w:r>
      <w:proofErr w:type="gramStart"/>
      <w:r w:rsidR="0099095D">
        <w:rPr>
          <w:rFonts w:ascii="Calibri" w:hAnsi="Calibri" w:cs="Calibri"/>
          <w:sz w:val="22"/>
          <w:szCs w:val="22"/>
        </w:rPr>
        <w:t>was</w:t>
      </w:r>
      <w:proofErr w:type="gramEnd"/>
      <w:r w:rsidR="0099095D">
        <w:rPr>
          <w:rFonts w:ascii="Calibri" w:hAnsi="Calibri" w:cs="Calibri"/>
          <w:sz w:val="22"/>
          <w:szCs w:val="22"/>
        </w:rPr>
        <w:t xml:space="preserve"> </w:t>
      </w:r>
      <w:r>
        <w:rPr>
          <w:rFonts w:ascii="Calibri" w:hAnsi="Calibri" w:cs="Calibri"/>
          <w:sz w:val="22"/>
          <w:szCs w:val="22"/>
        </w:rPr>
        <w:t xml:space="preserve">also </w:t>
      </w:r>
      <w:r w:rsidR="0099095D">
        <w:rPr>
          <w:rFonts w:ascii="Calibri" w:hAnsi="Calibri" w:cs="Calibri"/>
          <w:sz w:val="22"/>
          <w:szCs w:val="22"/>
        </w:rPr>
        <w:t>assisted by advice from a</w:t>
      </w:r>
      <w:r w:rsidR="0099095D" w:rsidRPr="0099095D">
        <w:rPr>
          <w:rFonts w:ascii="Calibri" w:hAnsi="Calibri" w:cs="Calibri"/>
          <w:sz w:val="22"/>
          <w:szCs w:val="22"/>
        </w:rPr>
        <w:t xml:space="preserve"> </w:t>
      </w:r>
      <w:r w:rsidR="0099095D">
        <w:rPr>
          <w:rFonts w:ascii="Calibri" w:hAnsi="Calibri" w:cs="Calibri"/>
          <w:sz w:val="22"/>
          <w:szCs w:val="22"/>
        </w:rPr>
        <w:t>R</w:t>
      </w:r>
      <w:r w:rsidR="0099095D" w:rsidRPr="0099095D">
        <w:rPr>
          <w:rFonts w:ascii="Calibri" w:hAnsi="Calibri" w:cs="Calibri"/>
          <w:sz w:val="22"/>
          <w:szCs w:val="22"/>
        </w:rPr>
        <w:t xml:space="preserve">eview </w:t>
      </w:r>
      <w:r w:rsidR="0099095D">
        <w:rPr>
          <w:rFonts w:ascii="Calibri" w:hAnsi="Calibri" w:cs="Calibri"/>
          <w:sz w:val="22"/>
          <w:szCs w:val="22"/>
        </w:rPr>
        <w:t>A</w:t>
      </w:r>
      <w:r w:rsidR="0099095D" w:rsidRPr="0099095D">
        <w:rPr>
          <w:rFonts w:ascii="Calibri" w:hAnsi="Calibri" w:cs="Calibri"/>
          <w:sz w:val="22"/>
          <w:szCs w:val="22"/>
        </w:rPr>
        <w:t xml:space="preserve">dvisory </w:t>
      </w:r>
      <w:r w:rsidR="0099095D">
        <w:rPr>
          <w:rFonts w:ascii="Calibri" w:hAnsi="Calibri" w:cs="Calibri"/>
          <w:sz w:val="22"/>
          <w:szCs w:val="22"/>
        </w:rPr>
        <w:t>G</w:t>
      </w:r>
      <w:r w:rsidR="0099095D" w:rsidRPr="0099095D">
        <w:rPr>
          <w:rFonts w:ascii="Calibri" w:hAnsi="Calibri" w:cs="Calibri"/>
          <w:sz w:val="22"/>
          <w:szCs w:val="22"/>
        </w:rPr>
        <w:t>roup with the following membership:</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Chair – Dr Stephen Christley, Chief Public Health Officer and Executive Director, Public Health and Clinical Coordination, SA Department of Health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Clinical Community - Associate Professor Robert Heddle, Professor John Gibson; and Associate Professor Lynette </w:t>
      </w:r>
      <w:proofErr w:type="spellStart"/>
      <w:r w:rsidRPr="0099095D">
        <w:rPr>
          <w:rFonts w:ascii="Calibri" w:hAnsi="Calibri" w:cs="Calibri"/>
          <w:sz w:val="22"/>
          <w:szCs w:val="22"/>
        </w:rPr>
        <w:t>Keirs</w:t>
      </w:r>
      <w:proofErr w:type="spellEnd"/>
      <w:r w:rsidRPr="0099095D">
        <w:rPr>
          <w:rFonts w:ascii="Calibri" w:hAnsi="Calibri" w:cs="Calibri"/>
          <w:sz w:val="22"/>
          <w:szCs w:val="22"/>
        </w:rPr>
        <w:t xml:space="preserve">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Health Consumer representative - Ms Helen </w:t>
      </w:r>
      <w:proofErr w:type="spellStart"/>
      <w:r w:rsidRPr="0099095D">
        <w:rPr>
          <w:rFonts w:ascii="Calibri" w:hAnsi="Calibri" w:cs="Calibri"/>
          <w:sz w:val="22"/>
          <w:szCs w:val="22"/>
        </w:rPr>
        <w:t>Mikolaj</w:t>
      </w:r>
      <w:proofErr w:type="spellEnd"/>
      <w:r w:rsidRPr="0099095D">
        <w:rPr>
          <w:rFonts w:ascii="Calibri" w:hAnsi="Calibri" w:cs="Calibri"/>
          <w:sz w:val="22"/>
          <w:szCs w:val="22"/>
        </w:rPr>
        <w:t xml:space="preserve">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Patient representative - Ms Jackie Murphy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Large jurisdiction representative - Dr Jan Fizzell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Small jurisdiction representative - Ms Carolyn Duck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Department of Health and Ageing - Ms Sharyn McGregor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Australian Red Cross Blood Service - Dr Joanne Pink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IVIg Nurse - Ms Linley Bilby </w:t>
      </w:r>
    </w:p>
    <w:p w:rsidR="0099095D" w:rsidRPr="0099095D" w:rsidRDefault="0099095D" w:rsidP="0099095D">
      <w:pPr>
        <w:numPr>
          <w:ilvl w:val="0"/>
          <w:numId w:val="12"/>
        </w:numPr>
        <w:rPr>
          <w:rFonts w:ascii="Calibri" w:hAnsi="Calibri" w:cs="Calibri"/>
          <w:sz w:val="22"/>
          <w:szCs w:val="22"/>
        </w:rPr>
      </w:pPr>
      <w:r w:rsidRPr="0099095D">
        <w:rPr>
          <w:rFonts w:ascii="Calibri" w:hAnsi="Calibri" w:cs="Calibri"/>
          <w:sz w:val="22"/>
          <w:szCs w:val="22"/>
        </w:rPr>
        <w:t xml:space="preserve">Health Economist - Ms </w:t>
      </w:r>
      <w:proofErr w:type="spellStart"/>
      <w:r w:rsidRPr="0099095D">
        <w:rPr>
          <w:rFonts w:ascii="Calibri" w:hAnsi="Calibri" w:cs="Calibri"/>
          <w:sz w:val="22"/>
          <w:szCs w:val="22"/>
        </w:rPr>
        <w:t>Liliana</w:t>
      </w:r>
      <w:proofErr w:type="spellEnd"/>
      <w:r w:rsidRPr="0099095D">
        <w:rPr>
          <w:rFonts w:ascii="Calibri" w:hAnsi="Calibri" w:cs="Calibri"/>
          <w:sz w:val="22"/>
          <w:szCs w:val="22"/>
        </w:rPr>
        <w:t xml:space="preserve"> </w:t>
      </w:r>
      <w:proofErr w:type="spellStart"/>
      <w:r w:rsidRPr="0099095D">
        <w:rPr>
          <w:rFonts w:ascii="Calibri" w:hAnsi="Calibri" w:cs="Calibri"/>
          <w:sz w:val="22"/>
          <w:szCs w:val="22"/>
        </w:rPr>
        <w:t>Bulfone</w:t>
      </w:r>
      <w:proofErr w:type="spellEnd"/>
      <w:r w:rsidRPr="0099095D">
        <w:rPr>
          <w:rFonts w:ascii="Calibri" w:hAnsi="Calibri" w:cs="Calibri"/>
          <w:sz w:val="22"/>
          <w:szCs w:val="22"/>
        </w:rPr>
        <w:t xml:space="preserve"> </w:t>
      </w:r>
    </w:p>
    <w:p w:rsidR="0099095D" w:rsidRPr="0099095D" w:rsidRDefault="0099095D" w:rsidP="00A062D3">
      <w:pPr>
        <w:rPr>
          <w:rFonts w:ascii="Calibri" w:hAnsi="Calibri" w:cs="Calibri"/>
          <w:sz w:val="22"/>
          <w:szCs w:val="22"/>
        </w:rPr>
      </w:pPr>
    </w:p>
    <w:p w:rsidR="00E61051" w:rsidRDefault="00E61051" w:rsidP="00A062D3">
      <w:pPr>
        <w:rPr>
          <w:rFonts w:ascii="Helv" w:eastAsia="Calibri" w:hAnsi="Helv" w:cs="Helv"/>
          <w:color w:val="000000"/>
          <w:sz w:val="20"/>
        </w:rPr>
      </w:pPr>
    </w:p>
    <w:p w:rsidR="00A062D3" w:rsidRPr="00673CCA" w:rsidRDefault="00E61051" w:rsidP="00A062D3">
      <w:pPr>
        <w:rPr>
          <w:rFonts w:ascii="Calibri" w:hAnsi="Calibri" w:cs="Calibri"/>
          <w:b/>
          <w:sz w:val="22"/>
          <w:szCs w:val="22"/>
        </w:rPr>
      </w:pPr>
      <w:r>
        <w:rPr>
          <w:rFonts w:ascii="Calibri" w:hAnsi="Calibri" w:cs="Calibri"/>
          <w:b/>
          <w:sz w:val="22"/>
          <w:szCs w:val="22"/>
        </w:rPr>
        <w:lastRenderedPageBreak/>
        <w:t>Review findings</w:t>
      </w:r>
      <w:r w:rsidR="0099095D">
        <w:rPr>
          <w:rFonts w:ascii="Calibri" w:hAnsi="Calibri" w:cs="Calibri"/>
          <w:b/>
          <w:sz w:val="22"/>
          <w:szCs w:val="22"/>
        </w:rPr>
        <w:t xml:space="preserve"> and recommendations</w:t>
      </w:r>
    </w:p>
    <w:p w:rsidR="00A062D3" w:rsidRDefault="00E61051" w:rsidP="00A062D3">
      <w:pPr>
        <w:rPr>
          <w:rFonts w:ascii="Calibri" w:hAnsi="Calibri" w:cs="Calibri"/>
          <w:sz w:val="22"/>
          <w:szCs w:val="22"/>
        </w:rPr>
      </w:pPr>
      <w:r>
        <w:rPr>
          <w:rFonts w:ascii="Calibri" w:hAnsi="Calibri" w:cs="Calibri"/>
          <w:sz w:val="22"/>
          <w:szCs w:val="22"/>
        </w:rPr>
        <w:t>T</w:t>
      </w:r>
      <w:r w:rsidR="000A0616" w:rsidRPr="00673CCA">
        <w:rPr>
          <w:rFonts w:ascii="Calibri" w:hAnsi="Calibri" w:cs="Calibri"/>
          <w:sz w:val="22"/>
          <w:szCs w:val="22"/>
        </w:rPr>
        <w:t xml:space="preserve">he </w:t>
      </w:r>
      <w:r w:rsidR="00505D2D">
        <w:rPr>
          <w:rFonts w:ascii="Calibri" w:hAnsi="Calibri" w:cs="Calibri"/>
          <w:sz w:val="22"/>
          <w:szCs w:val="22"/>
        </w:rPr>
        <w:t>r</w:t>
      </w:r>
      <w:r w:rsidR="000A0616" w:rsidRPr="00673CCA">
        <w:rPr>
          <w:rFonts w:ascii="Calibri" w:hAnsi="Calibri" w:cs="Calibri"/>
          <w:sz w:val="22"/>
          <w:szCs w:val="22"/>
        </w:rPr>
        <w:t xml:space="preserve">eview </w:t>
      </w:r>
      <w:r w:rsidR="000A0616" w:rsidRPr="000A0616">
        <w:rPr>
          <w:rFonts w:ascii="Calibri" w:hAnsi="Calibri" w:cs="Calibri"/>
          <w:sz w:val="22"/>
          <w:szCs w:val="22"/>
        </w:rPr>
        <w:t xml:space="preserve">highlighted significant variation in IVIg management processes nationally, with process inefficiencies, under investment in integrated data systems and limited evidence of alternative therapies being considered before prescription. </w:t>
      </w:r>
      <w:r w:rsidR="007B274B">
        <w:rPr>
          <w:rFonts w:ascii="Calibri" w:hAnsi="Calibri" w:cs="Calibri"/>
          <w:sz w:val="22"/>
          <w:szCs w:val="22"/>
        </w:rPr>
        <w:t xml:space="preserve"> </w:t>
      </w:r>
      <w:r w:rsidR="000A0616" w:rsidRPr="000A0616">
        <w:rPr>
          <w:rFonts w:ascii="Calibri" w:hAnsi="Calibri" w:cs="Calibri"/>
          <w:sz w:val="22"/>
          <w:szCs w:val="22"/>
        </w:rPr>
        <w:t xml:space="preserve">It also found variation in diagnoses, high prescription rates in some conditions compared to international rates of use, limited transparency of </w:t>
      </w:r>
      <w:r w:rsidR="00C4181D">
        <w:rPr>
          <w:rFonts w:ascii="Calibri" w:hAnsi="Calibri" w:cs="Calibri"/>
          <w:sz w:val="22"/>
          <w:szCs w:val="22"/>
        </w:rPr>
        <w:t>cost</w:t>
      </w:r>
      <w:r w:rsidR="000A0616" w:rsidRPr="000A0616">
        <w:rPr>
          <w:rFonts w:ascii="Calibri" w:hAnsi="Calibri" w:cs="Calibri"/>
          <w:sz w:val="22"/>
          <w:szCs w:val="22"/>
        </w:rPr>
        <w:t xml:space="preserve"> implications and no accountability for cost with the prescriber.</w:t>
      </w:r>
      <w:r>
        <w:rPr>
          <w:rFonts w:ascii="Calibri" w:hAnsi="Calibri" w:cs="Calibri"/>
          <w:sz w:val="22"/>
          <w:szCs w:val="22"/>
        </w:rPr>
        <w:t xml:space="preserve"> </w:t>
      </w:r>
    </w:p>
    <w:p w:rsidR="009B612F" w:rsidRPr="00974B12" w:rsidRDefault="00505D2D" w:rsidP="00974B12">
      <w:pPr>
        <w:pStyle w:val="Default"/>
        <w:spacing w:before="120" w:after="120"/>
        <w:rPr>
          <w:sz w:val="22"/>
          <w:szCs w:val="22"/>
        </w:rPr>
      </w:pPr>
      <w:r>
        <w:rPr>
          <w:sz w:val="22"/>
          <w:szCs w:val="22"/>
        </w:rPr>
        <w:t>T</w:t>
      </w:r>
      <w:r w:rsidR="0099095D">
        <w:rPr>
          <w:sz w:val="22"/>
          <w:szCs w:val="22"/>
        </w:rPr>
        <w:t>he model</w:t>
      </w:r>
      <w:r w:rsidR="009B612F" w:rsidRPr="00974B12">
        <w:rPr>
          <w:sz w:val="22"/>
          <w:szCs w:val="22"/>
        </w:rPr>
        <w:t xml:space="preserve"> </w:t>
      </w:r>
      <w:r w:rsidR="00C4181D">
        <w:rPr>
          <w:sz w:val="22"/>
          <w:szCs w:val="22"/>
        </w:rPr>
        <w:t>recommended by Ernst and Young</w:t>
      </w:r>
      <w:r w:rsidRPr="00505D2D">
        <w:rPr>
          <w:rFonts w:eastAsia="Times New Roman"/>
          <w:color w:val="auto"/>
          <w:sz w:val="22"/>
          <w:szCs w:val="22"/>
        </w:rPr>
        <w:t xml:space="preserve"> </w:t>
      </w:r>
      <w:r>
        <w:rPr>
          <w:rFonts w:eastAsia="Times New Roman"/>
          <w:color w:val="auto"/>
          <w:sz w:val="22"/>
          <w:szCs w:val="22"/>
        </w:rPr>
        <w:t>in</w:t>
      </w:r>
      <w:r w:rsidRPr="00974B12">
        <w:rPr>
          <w:sz w:val="22"/>
          <w:szCs w:val="22"/>
        </w:rPr>
        <w:t xml:space="preserve"> Part 3 </w:t>
      </w:r>
      <w:r>
        <w:rPr>
          <w:sz w:val="22"/>
          <w:szCs w:val="22"/>
        </w:rPr>
        <w:t>of the review</w:t>
      </w:r>
      <w:r w:rsidR="00C4181D">
        <w:rPr>
          <w:sz w:val="22"/>
          <w:szCs w:val="22"/>
        </w:rPr>
        <w:t xml:space="preserve"> </w:t>
      </w:r>
      <w:r w:rsidR="009B612F" w:rsidRPr="00974B12">
        <w:rPr>
          <w:sz w:val="22"/>
          <w:szCs w:val="22"/>
        </w:rPr>
        <w:t>is a centralised approach to demand management, to formalise and centralise clinical governance at a national level in order to gain efficiencies and ensure equity of product use across Australia.</w:t>
      </w:r>
    </w:p>
    <w:p w:rsidR="00A062D3" w:rsidRPr="00673CCA" w:rsidRDefault="006D0B13" w:rsidP="00CA4141">
      <w:pPr>
        <w:pStyle w:val="Default"/>
        <w:spacing w:before="120" w:after="120"/>
        <w:rPr>
          <w:sz w:val="22"/>
          <w:szCs w:val="22"/>
        </w:rPr>
      </w:pPr>
      <w:r w:rsidRPr="006D0B13">
        <w:rPr>
          <w:sz w:val="22"/>
          <w:szCs w:val="22"/>
        </w:rPr>
        <w:t xml:space="preserve">To implement the recommended model, </w:t>
      </w:r>
      <w:r w:rsidR="00505D2D">
        <w:rPr>
          <w:sz w:val="22"/>
          <w:szCs w:val="22"/>
        </w:rPr>
        <w:t>Ernst and Young</w:t>
      </w:r>
      <w:r w:rsidRPr="006D0B13">
        <w:rPr>
          <w:sz w:val="22"/>
          <w:szCs w:val="22"/>
        </w:rPr>
        <w:t xml:space="preserve"> recommended an integrated package of short term improvement projects and longer term strategic projects</w:t>
      </w:r>
      <w:r>
        <w:rPr>
          <w:sz w:val="22"/>
          <w:szCs w:val="22"/>
        </w:rPr>
        <w:t>.</w:t>
      </w:r>
      <w:r w:rsidR="00CA4141">
        <w:rPr>
          <w:sz w:val="22"/>
          <w:szCs w:val="22"/>
        </w:rPr>
        <w:t xml:space="preserve">  </w:t>
      </w:r>
      <w:r w:rsidRPr="00673CCA">
        <w:rPr>
          <w:sz w:val="22"/>
          <w:szCs w:val="22"/>
        </w:rPr>
        <w:t xml:space="preserve">The </w:t>
      </w:r>
      <w:r w:rsidR="00904B42" w:rsidRPr="00673CCA">
        <w:rPr>
          <w:sz w:val="22"/>
          <w:szCs w:val="22"/>
        </w:rPr>
        <w:t xml:space="preserve">following </w:t>
      </w:r>
      <w:r w:rsidRPr="00673CCA">
        <w:rPr>
          <w:sz w:val="22"/>
          <w:szCs w:val="22"/>
        </w:rPr>
        <w:t xml:space="preserve">recommended short term projects target five areas </w:t>
      </w:r>
      <w:r w:rsidR="00904B42" w:rsidRPr="00673CCA">
        <w:rPr>
          <w:sz w:val="22"/>
          <w:szCs w:val="22"/>
        </w:rPr>
        <w:t xml:space="preserve">identified </w:t>
      </w:r>
      <w:r w:rsidR="00F713F2" w:rsidRPr="00673CCA">
        <w:rPr>
          <w:sz w:val="22"/>
          <w:szCs w:val="22"/>
        </w:rPr>
        <w:t xml:space="preserve">for </w:t>
      </w:r>
      <w:r w:rsidR="00AA28DE" w:rsidRPr="00673CCA">
        <w:rPr>
          <w:sz w:val="22"/>
          <w:szCs w:val="22"/>
        </w:rPr>
        <w:t>improvement of</w:t>
      </w:r>
      <w:r w:rsidRPr="00673CCA">
        <w:rPr>
          <w:sz w:val="22"/>
          <w:szCs w:val="22"/>
        </w:rPr>
        <w:t xml:space="preserve"> current arrangements</w:t>
      </w:r>
      <w:r w:rsidR="00F713F2" w:rsidRPr="00673CCA">
        <w:rPr>
          <w:sz w:val="22"/>
          <w:szCs w:val="22"/>
        </w:rPr>
        <w:t>:</w:t>
      </w:r>
    </w:p>
    <w:p w:rsidR="00452743" w:rsidRDefault="00452743" w:rsidP="00452743">
      <w:pPr>
        <w:numPr>
          <w:ilvl w:val="0"/>
          <w:numId w:val="9"/>
        </w:numPr>
        <w:autoSpaceDE w:val="0"/>
        <w:autoSpaceDN w:val="0"/>
        <w:adjustRightInd w:val="0"/>
        <w:rPr>
          <w:rFonts w:ascii="Calibri" w:eastAsia="Calibri" w:hAnsi="Calibri" w:cs="Calibri"/>
          <w:color w:val="000000"/>
          <w:sz w:val="22"/>
          <w:szCs w:val="22"/>
        </w:rPr>
      </w:pPr>
      <w:r w:rsidRPr="00452743">
        <w:rPr>
          <w:rFonts w:ascii="Calibri" w:eastAsia="Calibri" w:hAnsi="Calibri" w:cs="Calibri"/>
          <w:color w:val="000000"/>
          <w:sz w:val="22"/>
          <w:szCs w:val="22"/>
        </w:rPr>
        <w:t>Describe the functional model for the current authorisation and clinical governance arrangements, and formally allocate responsibility and</w:t>
      </w:r>
      <w:r>
        <w:rPr>
          <w:rFonts w:ascii="Calibri" w:eastAsia="Calibri" w:hAnsi="Calibri" w:cs="Calibri"/>
          <w:color w:val="000000"/>
          <w:sz w:val="22"/>
          <w:szCs w:val="22"/>
        </w:rPr>
        <w:t xml:space="preserve"> authority in each jurisdiction</w:t>
      </w:r>
      <w:r w:rsidR="006D13BA">
        <w:rPr>
          <w:rFonts w:ascii="Calibri" w:eastAsia="Calibri" w:hAnsi="Calibri" w:cs="Calibri"/>
          <w:color w:val="000000"/>
          <w:sz w:val="22"/>
          <w:szCs w:val="22"/>
        </w:rPr>
        <w:t>;</w:t>
      </w:r>
    </w:p>
    <w:p w:rsidR="00452743" w:rsidRDefault="00E30DB1" w:rsidP="00E30DB1">
      <w:pPr>
        <w:numPr>
          <w:ilvl w:val="0"/>
          <w:numId w:val="9"/>
        </w:numPr>
        <w:autoSpaceDE w:val="0"/>
        <w:autoSpaceDN w:val="0"/>
        <w:adjustRightInd w:val="0"/>
        <w:rPr>
          <w:rFonts w:ascii="Calibri" w:eastAsia="Calibri" w:hAnsi="Calibri" w:cs="Calibri"/>
          <w:color w:val="000000"/>
          <w:sz w:val="22"/>
          <w:szCs w:val="22"/>
        </w:rPr>
      </w:pPr>
      <w:r w:rsidRPr="00E30DB1">
        <w:rPr>
          <w:rFonts w:ascii="Calibri" w:eastAsia="Calibri" w:hAnsi="Calibri" w:cs="Calibri"/>
          <w:color w:val="000000"/>
          <w:sz w:val="22"/>
          <w:szCs w:val="22"/>
        </w:rPr>
        <w:t xml:space="preserve">Introduce new management processes to include </w:t>
      </w:r>
      <w:proofErr w:type="spellStart"/>
      <w:r w:rsidR="009F67B6">
        <w:rPr>
          <w:rFonts w:ascii="Calibri" w:eastAsia="Calibri" w:hAnsi="Calibri" w:cs="Calibri"/>
          <w:color w:val="000000"/>
          <w:sz w:val="22"/>
          <w:szCs w:val="22"/>
        </w:rPr>
        <w:t>NIg</w:t>
      </w:r>
      <w:proofErr w:type="spellEnd"/>
      <w:r w:rsidRPr="00E30DB1">
        <w:rPr>
          <w:rFonts w:ascii="Calibri" w:eastAsia="Calibri" w:hAnsi="Calibri" w:cs="Calibri"/>
          <w:color w:val="000000"/>
          <w:sz w:val="22"/>
          <w:szCs w:val="22"/>
        </w:rPr>
        <w:t xml:space="preserve"> </w:t>
      </w:r>
      <w:r w:rsidR="005C19B4">
        <w:rPr>
          <w:rFonts w:ascii="Calibri" w:eastAsia="Calibri" w:hAnsi="Calibri" w:cs="Calibri"/>
          <w:color w:val="000000"/>
          <w:sz w:val="22"/>
          <w:szCs w:val="22"/>
        </w:rPr>
        <w:t>and</w:t>
      </w:r>
      <w:r w:rsidRPr="00E30DB1">
        <w:rPr>
          <w:rFonts w:ascii="Calibri" w:eastAsia="Calibri" w:hAnsi="Calibri" w:cs="Calibri"/>
          <w:color w:val="000000"/>
          <w:sz w:val="22"/>
          <w:szCs w:val="22"/>
        </w:rPr>
        <w:t xml:space="preserve"> </w:t>
      </w:r>
      <w:proofErr w:type="spellStart"/>
      <w:r w:rsidR="005C19B4">
        <w:rPr>
          <w:rFonts w:ascii="Calibri" w:eastAsia="Calibri" w:hAnsi="Calibri" w:cs="Calibri"/>
          <w:color w:val="000000"/>
          <w:sz w:val="22"/>
          <w:szCs w:val="22"/>
        </w:rPr>
        <w:t>SCIg</w:t>
      </w:r>
      <w:proofErr w:type="spellEnd"/>
      <w:r w:rsidR="00CA4141">
        <w:rPr>
          <w:rFonts w:ascii="Calibri" w:eastAsia="Calibri" w:hAnsi="Calibri" w:cs="Calibri"/>
          <w:color w:val="000000"/>
          <w:sz w:val="22"/>
          <w:szCs w:val="22"/>
        </w:rPr>
        <w:t xml:space="preserve"> </w:t>
      </w:r>
      <w:r w:rsidR="00CA4141" w:rsidRPr="00E30DB1">
        <w:rPr>
          <w:rFonts w:ascii="Calibri" w:eastAsia="Calibri" w:hAnsi="Calibri" w:cs="Calibri"/>
          <w:color w:val="000000"/>
          <w:sz w:val="22"/>
          <w:szCs w:val="22"/>
        </w:rPr>
        <w:t>in IVIg authorisation process</w:t>
      </w:r>
      <w:r w:rsidR="006D13BA">
        <w:rPr>
          <w:rFonts w:ascii="Calibri" w:eastAsia="Calibri" w:hAnsi="Calibri" w:cs="Calibri"/>
          <w:color w:val="000000"/>
          <w:sz w:val="22"/>
          <w:szCs w:val="22"/>
        </w:rPr>
        <w:t>;</w:t>
      </w:r>
    </w:p>
    <w:p w:rsidR="006D13BA" w:rsidRPr="006D13BA" w:rsidRDefault="006D13BA" w:rsidP="006D13BA">
      <w:pPr>
        <w:numPr>
          <w:ilvl w:val="0"/>
          <w:numId w:val="9"/>
        </w:numPr>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t xml:space="preserve">Improve patient </w:t>
      </w:r>
      <w:r w:rsidR="00F461E3">
        <w:rPr>
          <w:rFonts w:ascii="Calibri" w:eastAsia="Calibri" w:hAnsi="Calibri" w:cs="Calibri"/>
          <w:color w:val="000000"/>
          <w:sz w:val="22"/>
          <w:szCs w:val="22"/>
        </w:rPr>
        <w:t>information to</w:t>
      </w:r>
      <w:r>
        <w:rPr>
          <w:rFonts w:ascii="Calibri" w:eastAsia="Calibri" w:hAnsi="Calibri" w:cs="Calibri"/>
          <w:color w:val="000000"/>
          <w:sz w:val="22"/>
          <w:szCs w:val="22"/>
        </w:rPr>
        <w:t xml:space="preserve"> e</w:t>
      </w:r>
      <w:r w:rsidRPr="006D13BA">
        <w:rPr>
          <w:rFonts w:ascii="Calibri" w:eastAsia="Calibri" w:hAnsi="Calibri" w:cs="Calibri"/>
          <w:color w:val="000000"/>
          <w:sz w:val="22"/>
          <w:szCs w:val="22"/>
        </w:rPr>
        <w:t xml:space="preserve">nsure patients are aware of the Criteria requirements for </w:t>
      </w:r>
      <w:r w:rsidR="005C19B4">
        <w:rPr>
          <w:rFonts w:ascii="Calibri" w:eastAsia="Calibri" w:hAnsi="Calibri" w:cs="Calibri"/>
          <w:color w:val="000000"/>
          <w:sz w:val="22"/>
          <w:szCs w:val="22"/>
        </w:rPr>
        <w:t>eligibility and ongoing therapy;</w:t>
      </w:r>
    </w:p>
    <w:p w:rsidR="006D13BA" w:rsidRPr="006D13BA" w:rsidRDefault="006D13BA" w:rsidP="006D13BA">
      <w:pPr>
        <w:numPr>
          <w:ilvl w:val="0"/>
          <w:numId w:val="9"/>
        </w:numPr>
        <w:autoSpaceDE w:val="0"/>
        <w:autoSpaceDN w:val="0"/>
        <w:adjustRightInd w:val="0"/>
        <w:rPr>
          <w:rFonts w:ascii="Calibri" w:eastAsia="Calibri" w:hAnsi="Calibri" w:cs="Calibri"/>
          <w:color w:val="000000"/>
          <w:sz w:val="22"/>
          <w:szCs w:val="22"/>
        </w:rPr>
      </w:pPr>
      <w:r w:rsidRPr="006D13BA">
        <w:rPr>
          <w:rFonts w:ascii="Calibri" w:eastAsia="Calibri" w:hAnsi="Calibri" w:cs="Calibri"/>
          <w:color w:val="000000"/>
          <w:sz w:val="22"/>
          <w:szCs w:val="22"/>
        </w:rPr>
        <w:t xml:space="preserve">Centralise hospital ordering and </w:t>
      </w:r>
      <w:r>
        <w:rPr>
          <w:rFonts w:ascii="Calibri" w:eastAsia="Calibri" w:hAnsi="Calibri" w:cs="Calibri"/>
          <w:color w:val="000000"/>
          <w:sz w:val="22"/>
          <w:szCs w:val="22"/>
        </w:rPr>
        <w:t xml:space="preserve">product </w:t>
      </w:r>
      <w:r w:rsidRPr="006D13BA">
        <w:rPr>
          <w:rFonts w:ascii="Calibri" w:eastAsia="Calibri" w:hAnsi="Calibri" w:cs="Calibri"/>
          <w:color w:val="000000"/>
          <w:sz w:val="22"/>
          <w:szCs w:val="22"/>
        </w:rPr>
        <w:t>management at the blood bank or pharmacy for improved management; define wh</w:t>
      </w:r>
      <w:r>
        <w:rPr>
          <w:rFonts w:ascii="Calibri" w:eastAsia="Calibri" w:hAnsi="Calibri" w:cs="Calibri"/>
          <w:color w:val="000000"/>
          <w:sz w:val="22"/>
          <w:szCs w:val="22"/>
        </w:rPr>
        <w:t>en and how emergency</w:t>
      </w:r>
      <w:r w:rsidR="005C19B4">
        <w:rPr>
          <w:rFonts w:ascii="Calibri" w:eastAsia="Calibri" w:hAnsi="Calibri" w:cs="Calibri"/>
          <w:color w:val="000000"/>
          <w:sz w:val="22"/>
          <w:szCs w:val="22"/>
        </w:rPr>
        <w:t xml:space="preserve"> stock should be managed; and</w:t>
      </w:r>
    </w:p>
    <w:p w:rsidR="006D13BA" w:rsidRPr="006D13BA" w:rsidRDefault="006D13BA" w:rsidP="006D13BA">
      <w:pPr>
        <w:numPr>
          <w:ilvl w:val="0"/>
          <w:numId w:val="9"/>
        </w:numPr>
        <w:autoSpaceDE w:val="0"/>
        <w:autoSpaceDN w:val="0"/>
        <w:adjustRightInd w:val="0"/>
        <w:rPr>
          <w:rFonts w:ascii="Calibri" w:eastAsia="Calibri" w:hAnsi="Calibri" w:cs="Calibri"/>
          <w:color w:val="000000"/>
          <w:sz w:val="22"/>
          <w:szCs w:val="22"/>
        </w:rPr>
      </w:pPr>
      <w:r w:rsidRPr="006D13BA">
        <w:rPr>
          <w:rFonts w:ascii="Calibri" w:eastAsia="Calibri" w:hAnsi="Calibri" w:cs="Calibri"/>
          <w:color w:val="000000"/>
          <w:sz w:val="22"/>
          <w:szCs w:val="22"/>
        </w:rPr>
        <w:t>Define and deliver a package of information concerning current IVIg products and arrangements, particularly for j</w:t>
      </w:r>
      <w:r w:rsidR="005C19B4">
        <w:rPr>
          <w:rFonts w:ascii="Calibri" w:eastAsia="Calibri" w:hAnsi="Calibri" w:cs="Calibri"/>
          <w:color w:val="000000"/>
          <w:sz w:val="22"/>
          <w:szCs w:val="22"/>
        </w:rPr>
        <w:t>unior medical and nursing staff.</w:t>
      </w:r>
    </w:p>
    <w:p w:rsidR="006D13BA" w:rsidRPr="00E30DB1" w:rsidRDefault="006D13BA" w:rsidP="00775EB3">
      <w:pPr>
        <w:autoSpaceDE w:val="0"/>
        <w:autoSpaceDN w:val="0"/>
        <w:adjustRightInd w:val="0"/>
        <w:ind w:left="720"/>
        <w:rPr>
          <w:rFonts w:ascii="Calibri" w:eastAsia="Calibri" w:hAnsi="Calibri" w:cs="Calibri"/>
          <w:color w:val="000000"/>
          <w:sz w:val="22"/>
          <w:szCs w:val="22"/>
        </w:rPr>
      </w:pPr>
    </w:p>
    <w:p w:rsidR="00452743" w:rsidRPr="00673CCA" w:rsidRDefault="00444F22" w:rsidP="00A062D3">
      <w:pPr>
        <w:rPr>
          <w:rFonts w:ascii="Calibri" w:hAnsi="Calibri" w:cs="Calibri"/>
          <w:sz w:val="22"/>
          <w:szCs w:val="22"/>
        </w:rPr>
      </w:pPr>
      <w:r w:rsidRPr="00673CCA">
        <w:rPr>
          <w:rFonts w:ascii="Calibri" w:hAnsi="Calibri" w:cs="Calibri"/>
          <w:sz w:val="22"/>
          <w:szCs w:val="22"/>
        </w:rPr>
        <w:t xml:space="preserve">The longer term strategic projects recommended by </w:t>
      </w:r>
      <w:r w:rsidR="00505D2D">
        <w:rPr>
          <w:rFonts w:ascii="Calibri" w:hAnsi="Calibri" w:cs="Calibri"/>
          <w:sz w:val="22"/>
          <w:szCs w:val="22"/>
        </w:rPr>
        <w:t>Ernst and Young</w:t>
      </w:r>
      <w:r w:rsidRPr="00673CCA">
        <w:rPr>
          <w:rFonts w:ascii="Calibri" w:hAnsi="Calibri" w:cs="Calibri"/>
          <w:sz w:val="22"/>
          <w:szCs w:val="22"/>
        </w:rPr>
        <w:t xml:space="preserve"> include projects to establish the knowledge base and decision making processes to allow further improvement, and strategic projects targeted at transitioning arrangements to a more self-supporting and continuously improving mode</w:t>
      </w:r>
      <w:r w:rsidR="005C19B4" w:rsidRPr="00673CCA">
        <w:rPr>
          <w:rFonts w:ascii="Calibri" w:hAnsi="Calibri" w:cs="Calibri"/>
          <w:sz w:val="22"/>
          <w:szCs w:val="22"/>
        </w:rPr>
        <w:t xml:space="preserve">.  </w:t>
      </w:r>
      <w:r w:rsidR="00360897" w:rsidRPr="00673CCA">
        <w:rPr>
          <w:rFonts w:ascii="Calibri" w:hAnsi="Calibri" w:cs="Calibri"/>
          <w:sz w:val="22"/>
          <w:szCs w:val="22"/>
        </w:rPr>
        <w:t xml:space="preserve">Further work is </w:t>
      </w:r>
      <w:r w:rsidR="00F461E3" w:rsidRPr="00673CCA">
        <w:rPr>
          <w:rFonts w:ascii="Calibri" w:hAnsi="Calibri" w:cs="Calibri"/>
          <w:sz w:val="22"/>
          <w:szCs w:val="22"/>
        </w:rPr>
        <w:t xml:space="preserve">continuing to consider these recommendations </w:t>
      </w:r>
      <w:r w:rsidR="00C4181D">
        <w:rPr>
          <w:rFonts w:ascii="Calibri" w:hAnsi="Calibri" w:cs="Calibri"/>
          <w:sz w:val="22"/>
          <w:szCs w:val="22"/>
        </w:rPr>
        <w:t xml:space="preserve">within the </w:t>
      </w:r>
      <w:r w:rsidR="00854889">
        <w:rPr>
          <w:rFonts w:ascii="Calibri" w:hAnsi="Calibri" w:cs="Calibri"/>
          <w:sz w:val="22"/>
          <w:szCs w:val="22"/>
        </w:rPr>
        <w:t xml:space="preserve">proposed </w:t>
      </w:r>
      <w:r w:rsidR="00C4181D">
        <w:rPr>
          <w:rFonts w:ascii="Calibri" w:hAnsi="Calibri" w:cs="Calibri"/>
          <w:sz w:val="22"/>
          <w:szCs w:val="22"/>
        </w:rPr>
        <w:t>centralised model</w:t>
      </w:r>
      <w:r w:rsidR="00854889">
        <w:rPr>
          <w:rFonts w:ascii="Calibri" w:hAnsi="Calibri" w:cs="Calibri"/>
          <w:sz w:val="22"/>
          <w:szCs w:val="22"/>
        </w:rPr>
        <w:t xml:space="preserve"> and provide more detailed advice to governments. Any proposed structural changes to the current IVIg arrangements </w:t>
      </w:r>
      <w:r w:rsidR="00505D2D">
        <w:rPr>
          <w:rFonts w:ascii="Calibri" w:hAnsi="Calibri" w:cs="Calibri"/>
          <w:sz w:val="22"/>
          <w:szCs w:val="22"/>
        </w:rPr>
        <w:t>would</w:t>
      </w:r>
      <w:r w:rsidR="00854889">
        <w:rPr>
          <w:rFonts w:ascii="Calibri" w:hAnsi="Calibri" w:cs="Calibri"/>
          <w:sz w:val="22"/>
          <w:szCs w:val="22"/>
        </w:rPr>
        <w:t xml:space="preserve"> require governments’ endorsement.</w:t>
      </w:r>
    </w:p>
    <w:p w:rsidR="00CA4141" w:rsidRPr="00673CCA" w:rsidRDefault="00CA4141" w:rsidP="00A062D3">
      <w:pPr>
        <w:rPr>
          <w:rFonts w:ascii="Calibri" w:hAnsi="Calibri" w:cs="Calibri"/>
          <w:sz w:val="22"/>
          <w:szCs w:val="22"/>
        </w:rPr>
      </w:pPr>
    </w:p>
    <w:p w:rsidR="00F461E3" w:rsidRPr="00505D2D" w:rsidRDefault="00505D2D" w:rsidP="00F461E3">
      <w:pPr>
        <w:pStyle w:val="Default"/>
        <w:rPr>
          <w:b/>
          <w:sz w:val="22"/>
          <w:szCs w:val="22"/>
        </w:rPr>
      </w:pPr>
      <w:r>
        <w:rPr>
          <w:b/>
          <w:sz w:val="22"/>
          <w:szCs w:val="22"/>
        </w:rPr>
        <w:t>Implementation of review recommendations</w:t>
      </w:r>
    </w:p>
    <w:p w:rsidR="0099095D" w:rsidRDefault="0099095D" w:rsidP="0099095D">
      <w:pPr>
        <w:rPr>
          <w:rFonts w:ascii="Calibri" w:hAnsi="Calibri" w:cs="Calibri"/>
          <w:sz w:val="22"/>
          <w:szCs w:val="22"/>
        </w:rPr>
      </w:pPr>
      <w:r>
        <w:rPr>
          <w:rFonts w:ascii="Calibri" w:hAnsi="Calibri" w:cs="Calibri"/>
          <w:sz w:val="22"/>
          <w:szCs w:val="22"/>
        </w:rPr>
        <w:t>In March 2013 the Jurisdictional Blood Committee cons</w:t>
      </w:r>
      <w:r w:rsidR="004B1164">
        <w:rPr>
          <w:rFonts w:ascii="Calibri" w:hAnsi="Calibri" w:cs="Calibri"/>
          <w:sz w:val="22"/>
          <w:szCs w:val="22"/>
        </w:rPr>
        <w:t>idered the final report of the r</w:t>
      </w:r>
      <w:r>
        <w:rPr>
          <w:rFonts w:ascii="Calibri" w:hAnsi="Calibri" w:cs="Calibri"/>
          <w:sz w:val="22"/>
          <w:szCs w:val="22"/>
        </w:rPr>
        <w:t>eview and endorsed the NBA commencing work to implement the five short term improvement project</w:t>
      </w:r>
      <w:r w:rsidR="00F316B8">
        <w:rPr>
          <w:rFonts w:ascii="Calibri" w:hAnsi="Calibri" w:cs="Calibri"/>
          <w:sz w:val="22"/>
          <w:szCs w:val="22"/>
        </w:rPr>
        <w:t>s</w:t>
      </w:r>
      <w:r>
        <w:rPr>
          <w:rFonts w:ascii="Calibri" w:hAnsi="Calibri" w:cs="Calibri"/>
          <w:sz w:val="22"/>
          <w:szCs w:val="22"/>
        </w:rPr>
        <w:t xml:space="preserve"> above.  These will be undertaken within 2013, and further updates will be available as this work unfolds.</w:t>
      </w:r>
      <w:r w:rsidRPr="00C4181D">
        <w:rPr>
          <w:rFonts w:ascii="Calibri" w:hAnsi="Calibri" w:cs="Calibri"/>
          <w:sz w:val="22"/>
          <w:szCs w:val="22"/>
        </w:rPr>
        <w:t xml:space="preserve"> </w:t>
      </w:r>
    </w:p>
    <w:p w:rsidR="0099095D" w:rsidRDefault="0099095D" w:rsidP="004B1164">
      <w:pPr>
        <w:jc w:val="right"/>
        <w:rPr>
          <w:rFonts w:ascii="Helv" w:eastAsia="Calibri" w:hAnsi="Helv" w:cs="Helv"/>
          <w:color w:val="000000"/>
          <w:sz w:val="20"/>
        </w:rPr>
      </w:pPr>
    </w:p>
    <w:p w:rsidR="0099095D" w:rsidRDefault="0099095D" w:rsidP="0099095D">
      <w:pPr>
        <w:rPr>
          <w:rFonts w:ascii="Calibri" w:hAnsi="Calibri" w:cs="Calibri"/>
          <w:sz w:val="22"/>
          <w:szCs w:val="22"/>
        </w:rPr>
      </w:pPr>
      <w:r w:rsidRPr="00673CCA">
        <w:rPr>
          <w:rFonts w:ascii="Calibri" w:hAnsi="Calibri" w:cs="Calibri"/>
          <w:sz w:val="22"/>
          <w:szCs w:val="22"/>
        </w:rPr>
        <w:t xml:space="preserve">The three reports submitted by Ernst and Young form a comprehensive and well conducted </w:t>
      </w:r>
      <w:r>
        <w:rPr>
          <w:rFonts w:ascii="Calibri" w:hAnsi="Calibri" w:cs="Calibri"/>
          <w:sz w:val="22"/>
          <w:szCs w:val="22"/>
        </w:rPr>
        <w:t>r</w:t>
      </w:r>
      <w:r w:rsidRPr="00673CCA">
        <w:rPr>
          <w:rFonts w:ascii="Calibri" w:hAnsi="Calibri" w:cs="Calibri"/>
          <w:sz w:val="22"/>
          <w:szCs w:val="22"/>
        </w:rPr>
        <w:t xml:space="preserve">eview by means of positive engagement and involvement of key stakeholders.  The enthusiasm shown by all parties involved in </w:t>
      </w:r>
      <w:r>
        <w:rPr>
          <w:rFonts w:ascii="Calibri" w:hAnsi="Calibri" w:cs="Calibri"/>
          <w:sz w:val="22"/>
          <w:szCs w:val="22"/>
        </w:rPr>
        <w:t>the</w:t>
      </w:r>
      <w:r w:rsidRPr="00673CCA">
        <w:rPr>
          <w:rFonts w:ascii="Calibri" w:hAnsi="Calibri" w:cs="Calibri"/>
          <w:sz w:val="22"/>
          <w:szCs w:val="22"/>
        </w:rPr>
        <w:t xml:space="preserve"> </w:t>
      </w:r>
      <w:r>
        <w:rPr>
          <w:rFonts w:ascii="Calibri" w:hAnsi="Calibri" w:cs="Calibri"/>
          <w:sz w:val="22"/>
          <w:szCs w:val="22"/>
        </w:rPr>
        <w:t>r</w:t>
      </w:r>
      <w:r w:rsidRPr="00673CCA">
        <w:rPr>
          <w:rFonts w:ascii="Calibri" w:hAnsi="Calibri" w:cs="Calibri"/>
          <w:sz w:val="22"/>
          <w:szCs w:val="22"/>
        </w:rPr>
        <w:t xml:space="preserve">eview </w:t>
      </w:r>
      <w:r>
        <w:rPr>
          <w:rFonts w:ascii="Calibri" w:hAnsi="Calibri" w:cs="Calibri"/>
          <w:sz w:val="22"/>
          <w:szCs w:val="22"/>
        </w:rPr>
        <w:t>was</w:t>
      </w:r>
      <w:r w:rsidRPr="00673CCA">
        <w:rPr>
          <w:rFonts w:ascii="Calibri" w:hAnsi="Calibri" w:cs="Calibri"/>
          <w:sz w:val="22"/>
          <w:szCs w:val="22"/>
        </w:rPr>
        <w:t xml:space="preserve"> particularly encouraging and </w:t>
      </w:r>
      <w:r w:rsidR="00505D2D">
        <w:rPr>
          <w:rFonts w:ascii="Calibri" w:hAnsi="Calibri" w:cs="Calibri"/>
          <w:sz w:val="22"/>
          <w:szCs w:val="22"/>
        </w:rPr>
        <w:t>the NBA was very</w:t>
      </w:r>
      <w:r w:rsidRPr="00673CCA">
        <w:rPr>
          <w:rFonts w:ascii="Calibri" w:hAnsi="Calibri" w:cs="Calibri"/>
          <w:sz w:val="22"/>
          <w:szCs w:val="22"/>
        </w:rPr>
        <w:t xml:space="preserve"> pleased to note the willingness of participants to embrace change and seek further improvement on current arrangements.</w:t>
      </w:r>
    </w:p>
    <w:p w:rsidR="0099095D" w:rsidRPr="00673CCA" w:rsidRDefault="0099095D" w:rsidP="0099095D">
      <w:pPr>
        <w:rPr>
          <w:rFonts w:ascii="Calibri" w:hAnsi="Calibri" w:cs="Calibri"/>
          <w:sz w:val="22"/>
          <w:szCs w:val="22"/>
        </w:rPr>
      </w:pPr>
    </w:p>
    <w:p w:rsidR="00A062D3" w:rsidRPr="00673CCA" w:rsidRDefault="00A062D3" w:rsidP="00A062D3">
      <w:pPr>
        <w:rPr>
          <w:rFonts w:ascii="Calibri" w:hAnsi="Calibri" w:cs="Calibri"/>
          <w:bCs/>
          <w:sz w:val="22"/>
          <w:szCs w:val="22"/>
        </w:rPr>
      </w:pPr>
      <w:r w:rsidRPr="00673CCA">
        <w:rPr>
          <w:rFonts w:ascii="Calibri" w:hAnsi="Calibri" w:cs="Calibri"/>
          <w:bCs/>
          <w:sz w:val="22"/>
          <w:szCs w:val="22"/>
        </w:rPr>
        <w:t xml:space="preserve">The NBA intends to keep </w:t>
      </w:r>
      <w:r w:rsidR="00505D2D">
        <w:rPr>
          <w:rFonts w:ascii="Calibri" w:hAnsi="Calibri" w:cs="Calibri"/>
          <w:bCs/>
          <w:sz w:val="22"/>
          <w:szCs w:val="22"/>
        </w:rPr>
        <w:t>all stakeholders</w:t>
      </w:r>
      <w:r w:rsidRPr="00673CCA">
        <w:rPr>
          <w:rFonts w:ascii="Calibri" w:hAnsi="Calibri" w:cs="Calibri"/>
          <w:bCs/>
          <w:sz w:val="22"/>
          <w:szCs w:val="22"/>
        </w:rPr>
        <w:t xml:space="preserve"> informed </w:t>
      </w:r>
      <w:r w:rsidR="0099095D">
        <w:rPr>
          <w:rFonts w:ascii="Calibri" w:hAnsi="Calibri" w:cs="Calibri"/>
          <w:bCs/>
          <w:sz w:val="22"/>
          <w:szCs w:val="22"/>
        </w:rPr>
        <w:t>and involved in</w:t>
      </w:r>
      <w:r w:rsidRPr="00673CCA">
        <w:rPr>
          <w:rFonts w:ascii="Calibri" w:hAnsi="Calibri" w:cs="Calibri"/>
          <w:bCs/>
          <w:sz w:val="22"/>
          <w:szCs w:val="22"/>
        </w:rPr>
        <w:t xml:space="preserve"> </w:t>
      </w:r>
      <w:r w:rsidR="005C6D35" w:rsidRPr="00673CCA">
        <w:rPr>
          <w:rFonts w:ascii="Calibri" w:hAnsi="Calibri" w:cs="Calibri"/>
          <w:bCs/>
          <w:sz w:val="22"/>
          <w:szCs w:val="22"/>
        </w:rPr>
        <w:t xml:space="preserve">the </w:t>
      </w:r>
      <w:r w:rsidR="00F713F2" w:rsidRPr="00673CCA">
        <w:rPr>
          <w:rFonts w:ascii="Calibri" w:hAnsi="Calibri" w:cs="Calibri"/>
          <w:bCs/>
          <w:sz w:val="22"/>
          <w:szCs w:val="22"/>
        </w:rPr>
        <w:t>implementation</w:t>
      </w:r>
      <w:r w:rsidR="005C6D35" w:rsidRPr="00673CCA">
        <w:rPr>
          <w:rFonts w:ascii="Calibri" w:hAnsi="Calibri" w:cs="Calibri"/>
          <w:bCs/>
          <w:sz w:val="22"/>
          <w:szCs w:val="22"/>
        </w:rPr>
        <w:t xml:space="preserve"> of </w:t>
      </w:r>
      <w:r w:rsidR="008052DA">
        <w:rPr>
          <w:rFonts w:ascii="Calibri" w:hAnsi="Calibri" w:cs="Calibri"/>
          <w:bCs/>
          <w:sz w:val="22"/>
          <w:szCs w:val="22"/>
        </w:rPr>
        <w:t xml:space="preserve">any of the agreed </w:t>
      </w:r>
      <w:r w:rsidR="00505D2D">
        <w:rPr>
          <w:rFonts w:ascii="Calibri" w:hAnsi="Calibri" w:cs="Calibri"/>
          <w:bCs/>
          <w:sz w:val="22"/>
          <w:szCs w:val="22"/>
        </w:rPr>
        <w:t>recommendations of the r</w:t>
      </w:r>
      <w:r w:rsidRPr="00673CCA">
        <w:rPr>
          <w:rFonts w:ascii="Calibri" w:hAnsi="Calibri" w:cs="Calibri"/>
          <w:bCs/>
          <w:sz w:val="22"/>
          <w:szCs w:val="22"/>
        </w:rPr>
        <w:t>eview and welcomes feedbac</w:t>
      </w:r>
      <w:r w:rsidR="00505D2D">
        <w:rPr>
          <w:rFonts w:ascii="Calibri" w:hAnsi="Calibri" w:cs="Calibri"/>
          <w:bCs/>
          <w:sz w:val="22"/>
          <w:szCs w:val="22"/>
        </w:rPr>
        <w:t xml:space="preserve">k on any aspects of the project </w:t>
      </w:r>
      <w:r w:rsidRPr="00673CCA">
        <w:rPr>
          <w:rFonts w:ascii="Calibri" w:hAnsi="Calibri" w:cs="Calibri"/>
          <w:bCs/>
          <w:sz w:val="22"/>
          <w:szCs w:val="22"/>
        </w:rPr>
        <w:t xml:space="preserve">(contact </w:t>
      </w:r>
      <w:hyperlink r:id="rId10" w:history="1">
        <w:r w:rsidRPr="000A7A64">
          <w:rPr>
            <w:rStyle w:val="Hyperlink"/>
            <w:rFonts w:ascii="Calibri" w:hAnsi="Calibri" w:cs="Calibri"/>
            <w:bCs/>
            <w:sz w:val="22"/>
            <w:szCs w:val="22"/>
            <w:u w:val="single"/>
          </w:rPr>
          <w:t>IVIgReview@nba.gov.au</w:t>
        </w:r>
      </w:hyperlink>
      <w:r w:rsidRPr="00673CCA">
        <w:rPr>
          <w:rFonts w:ascii="Calibri" w:hAnsi="Calibri" w:cs="Calibri"/>
          <w:bCs/>
          <w:sz w:val="22"/>
          <w:szCs w:val="22"/>
        </w:rPr>
        <w:t>).</w:t>
      </w:r>
    </w:p>
    <w:p w:rsidR="00A062D3" w:rsidRPr="00673CCA" w:rsidRDefault="00505D2D" w:rsidP="00505D2D">
      <w:pPr>
        <w:tabs>
          <w:tab w:val="left" w:pos="7906"/>
        </w:tabs>
        <w:rPr>
          <w:rFonts w:ascii="Calibri" w:hAnsi="Calibri" w:cs="Calibri"/>
          <w:sz w:val="22"/>
          <w:szCs w:val="22"/>
        </w:rPr>
      </w:pPr>
      <w:r>
        <w:rPr>
          <w:rFonts w:ascii="Calibri" w:hAnsi="Calibri" w:cs="Calibri"/>
          <w:sz w:val="22"/>
          <w:szCs w:val="22"/>
        </w:rPr>
        <w:tab/>
      </w:r>
    </w:p>
    <w:p w:rsidR="00505D2D" w:rsidRDefault="00505D2D" w:rsidP="00505D2D">
      <w:pPr>
        <w:pStyle w:val="Default"/>
        <w:rPr>
          <w:sz w:val="22"/>
          <w:szCs w:val="22"/>
          <w:shd w:val="clear" w:color="auto" w:fill="FFFF00"/>
        </w:rPr>
      </w:pPr>
      <w:r>
        <w:rPr>
          <w:sz w:val="22"/>
          <w:szCs w:val="22"/>
        </w:rPr>
        <w:t xml:space="preserve">The </w:t>
      </w:r>
      <w:hyperlink r:id="rId11" w:history="1">
        <w:r w:rsidRPr="000A7A64">
          <w:rPr>
            <w:rStyle w:val="Hyperlink"/>
            <w:rFonts w:cs="Calibri"/>
            <w:sz w:val="22"/>
            <w:szCs w:val="22"/>
            <w:u w:val="single"/>
          </w:rPr>
          <w:t>Executive Summary</w:t>
        </w:r>
      </w:hyperlink>
      <w:r>
        <w:rPr>
          <w:sz w:val="22"/>
          <w:szCs w:val="22"/>
        </w:rPr>
        <w:t xml:space="preserve"> of the review is available for further information</w:t>
      </w:r>
      <w:r w:rsidR="000A7A64">
        <w:rPr>
          <w:sz w:val="22"/>
          <w:szCs w:val="22"/>
        </w:rPr>
        <w:t>.</w:t>
      </w:r>
    </w:p>
    <w:p w:rsidR="00505D2D" w:rsidRPr="00505D2D" w:rsidRDefault="00505D2D" w:rsidP="00505D2D">
      <w:pPr>
        <w:pStyle w:val="Default"/>
        <w:rPr>
          <w:sz w:val="22"/>
          <w:szCs w:val="22"/>
        </w:rPr>
      </w:pPr>
    </w:p>
    <w:p w:rsidR="00505D2D" w:rsidRDefault="00505D2D" w:rsidP="00505D2D">
      <w:pPr>
        <w:pStyle w:val="Default"/>
        <w:rPr>
          <w:sz w:val="22"/>
          <w:szCs w:val="22"/>
        </w:rPr>
      </w:pPr>
      <w:r w:rsidRPr="00505D2D">
        <w:rPr>
          <w:sz w:val="22"/>
          <w:szCs w:val="22"/>
        </w:rPr>
        <w:t>March 2013</w:t>
      </w:r>
    </w:p>
    <w:sectPr w:rsidR="00505D2D" w:rsidSect="005B16C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6E" w:rsidRDefault="00AC3C6E" w:rsidP="0072293C">
      <w:r>
        <w:separator/>
      </w:r>
    </w:p>
  </w:endnote>
  <w:endnote w:type="continuationSeparator" w:id="0">
    <w:p w:rsidR="00AC3C6E" w:rsidRDefault="00AC3C6E" w:rsidP="0072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C" w:rsidRDefault="0072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C" w:rsidRDefault="00722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C" w:rsidRDefault="0072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6E" w:rsidRDefault="00AC3C6E" w:rsidP="0072293C">
      <w:r>
        <w:separator/>
      </w:r>
    </w:p>
  </w:footnote>
  <w:footnote w:type="continuationSeparator" w:id="0">
    <w:p w:rsidR="00AC3C6E" w:rsidRDefault="00AC3C6E" w:rsidP="00722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C" w:rsidRDefault="0072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C" w:rsidRDefault="00722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C" w:rsidRDefault="0072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335E"/>
    <w:multiLevelType w:val="hybridMultilevel"/>
    <w:tmpl w:val="AF9A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D323FF"/>
    <w:multiLevelType w:val="multilevel"/>
    <w:tmpl w:val="D244F21C"/>
    <w:lvl w:ilvl="0">
      <w:start w:val="1"/>
      <w:numFmt w:val="decimal"/>
      <w:pStyle w:val="Heading1A"/>
      <w:lvlText w:val="%1."/>
      <w:lvlJc w:val="left"/>
      <w:pPr>
        <w:tabs>
          <w:tab w:val="num" w:pos="924"/>
        </w:tabs>
        <w:ind w:left="924" w:hanging="924"/>
      </w:pPr>
      <w:rPr>
        <w:rFonts w:cs="Times New Roman" w:hint="default"/>
      </w:rPr>
    </w:lvl>
    <w:lvl w:ilvl="1">
      <w:start w:val="1"/>
      <w:numFmt w:val="decimal"/>
      <w:pStyle w:val="PFNumLevel2"/>
      <w:lvlText w:val="%1.%2"/>
      <w:lvlJc w:val="left"/>
      <w:pPr>
        <w:tabs>
          <w:tab w:val="num" w:pos="924"/>
        </w:tabs>
        <w:ind w:left="924" w:hanging="924"/>
      </w:pPr>
      <w:rPr>
        <w:rFonts w:cs="Times New Roman" w:hint="default"/>
        <w:b w:val="0"/>
        <w:i w:val="0"/>
        <w:sz w:val="21"/>
        <w:szCs w:val="21"/>
      </w:rPr>
    </w:lvl>
    <w:lvl w:ilvl="2">
      <w:start w:val="1"/>
      <w:numFmt w:val="lowerLetter"/>
      <w:lvlText w:val="%3."/>
      <w:lvlJc w:val="left"/>
      <w:pPr>
        <w:tabs>
          <w:tab w:val="num" w:pos="1284"/>
        </w:tabs>
        <w:ind w:left="1284" w:hanging="360"/>
      </w:pPr>
      <w:rPr>
        <w:rFonts w:cs="Times New Roman" w:hint="default"/>
      </w:rPr>
    </w:lvl>
    <w:lvl w:ilvl="3">
      <w:start w:val="1"/>
      <w:numFmt w:val="lowerLetter"/>
      <w:pStyle w:val="PFNumLevel4"/>
      <w:lvlText w:val="(%4)"/>
      <w:lvlJc w:val="left"/>
      <w:pPr>
        <w:tabs>
          <w:tab w:val="num" w:pos="2773"/>
        </w:tabs>
        <w:ind w:left="2773" w:hanging="925"/>
      </w:pPr>
      <w:rPr>
        <w:rFonts w:cs="Times New Roman" w:hint="default"/>
      </w:rPr>
    </w:lvl>
    <w:lvl w:ilvl="4">
      <w:start w:val="1"/>
      <w:numFmt w:val="lowerLetter"/>
      <w:pStyle w:val="PFNumLevel5"/>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2B7F5A65"/>
    <w:multiLevelType w:val="hybridMultilevel"/>
    <w:tmpl w:val="2A7E8E3A"/>
    <w:lvl w:ilvl="0" w:tplc="F27894DE">
      <w:start w:val="1"/>
      <w:numFmt w:val="bullet"/>
      <w:lvlText w:val="•"/>
      <w:lvlJc w:val="left"/>
      <w:pPr>
        <w:tabs>
          <w:tab w:val="num" w:pos="720"/>
        </w:tabs>
        <w:ind w:left="720" w:hanging="360"/>
      </w:pPr>
      <w:rPr>
        <w:rFonts w:ascii="Arial" w:hAnsi="Arial" w:hint="default"/>
      </w:rPr>
    </w:lvl>
    <w:lvl w:ilvl="1" w:tplc="853258F6" w:tentative="1">
      <w:start w:val="1"/>
      <w:numFmt w:val="bullet"/>
      <w:lvlText w:val="•"/>
      <w:lvlJc w:val="left"/>
      <w:pPr>
        <w:tabs>
          <w:tab w:val="num" w:pos="1440"/>
        </w:tabs>
        <w:ind w:left="1440" w:hanging="360"/>
      </w:pPr>
      <w:rPr>
        <w:rFonts w:ascii="Arial" w:hAnsi="Arial" w:hint="default"/>
      </w:rPr>
    </w:lvl>
    <w:lvl w:ilvl="2" w:tplc="6602F968" w:tentative="1">
      <w:start w:val="1"/>
      <w:numFmt w:val="bullet"/>
      <w:lvlText w:val="•"/>
      <w:lvlJc w:val="left"/>
      <w:pPr>
        <w:tabs>
          <w:tab w:val="num" w:pos="2160"/>
        </w:tabs>
        <w:ind w:left="2160" w:hanging="360"/>
      </w:pPr>
      <w:rPr>
        <w:rFonts w:ascii="Arial" w:hAnsi="Arial" w:hint="default"/>
      </w:rPr>
    </w:lvl>
    <w:lvl w:ilvl="3" w:tplc="9CFACB70" w:tentative="1">
      <w:start w:val="1"/>
      <w:numFmt w:val="bullet"/>
      <w:lvlText w:val="•"/>
      <w:lvlJc w:val="left"/>
      <w:pPr>
        <w:tabs>
          <w:tab w:val="num" w:pos="2880"/>
        </w:tabs>
        <w:ind w:left="2880" w:hanging="360"/>
      </w:pPr>
      <w:rPr>
        <w:rFonts w:ascii="Arial" w:hAnsi="Arial" w:hint="default"/>
      </w:rPr>
    </w:lvl>
    <w:lvl w:ilvl="4" w:tplc="1E0293B6" w:tentative="1">
      <w:start w:val="1"/>
      <w:numFmt w:val="bullet"/>
      <w:lvlText w:val="•"/>
      <w:lvlJc w:val="left"/>
      <w:pPr>
        <w:tabs>
          <w:tab w:val="num" w:pos="3600"/>
        </w:tabs>
        <w:ind w:left="3600" w:hanging="360"/>
      </w:pPr>
      <w:rPr>
        <w:rFonts w:ascii="Arial" w:hAnsi="Arial" w:hint="default"/>
      </w:rPr>
    </w:lvl>
    <w:lvl w:ilvl="5" w:tplc="1638E368" w:tentative="1">
      <w:start w:val="1"/>
      <w:numFmt w:val="bullet"/>
      <w:lvlText w:val="•"/>
      <w:lvlJc w:val="left"/>
      <w:pPr>
        <w:tabs>
          <w:tab w:val="num" w:pos="4320"/>
        </w:tabs>
        <w:ind w:left="4320" w:hanging="360"/>
      </w:pPr>
      <w:rPr>
        <w:rFonts w:ascii="Arial" w:hAnsi="Arial" w:hint="default"/>
      </w:rPr>
    </w:lvl>
    <w:lvl w:ilvl="6" w:tplc="C9729660" w:tentative="1">
      <w:start w:val="1"/>
      <w:numFmt w:val="bullet"/>
      <w:lvlText w:val="•"/>
      <w:lvlJc w:val="left"/>
      <w:pPr>
        <w:tabs>
          <w:tab w:val="num" w:pos="5040"/>
        </w:tabs>
        <w:ind w:left="5040" w:hanging="360"/>
      </w:pPr>
      <w:rPr>
        <w:rFonts w:ascii="Arial" w:hAnsi="Arial" w:hint="default"/>
      </w:rPr>
    </w:lvl>
    <w:lvl w:ilvl="7" w:tplc="804C849C" w:tentative="1">
      <w:start w:val="1"/>
      <w:numFmt w:val="bullet"/>
      <w:lvlText w:val="•"/>
      <w:lvlJc w:val="left"/>
      <w:pPr>
        <w:tabs>
          <w:tab w:val="num" w:pos="5760"/>
        </w:tabs>
        <w:ind w:left="5760" w:hanging="360"/>
      </w:pPr>
      <w:rPr>
        <w:rFonts w:ascii="Arial" w:hAnsi="Arial" w:hint="default"/>
      </w:rPr>
    </w:lvl>
    <w:lvl w:ilvl="8" w:tplc="BFB895A4" w:tentative="1">
      <w:start w:val="1"/>
      <w:numFmt w:val="bullet"/>
      <w:lvlText w:val="•"/>
      <w:lvlJc w:val="left"/>
      <w:pPr>
        <w:tabs>
          <w:tab w:val="num" w:pos="6480"/>
        </w:tabs>
        <w:ind w:left="6480" w:hanging="360"/>
      </w:pPr>
      <w:rPr>
        <w:rFonts w:ascii="Arial" w:hAnsi="Arial" w:hint="default"/>
      </w:rPr>
    </w:lvl>
  </w:abstractNum>
  <w:abstractNum w:abstractNumId="3">
    <w:nsid w:val="31C228E4"/>
    <w:multiLevelType w:val="hybridMultilevel"/>
    <w:tmpl w:val="EF5EAF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6B457E7"/>
    <w:multiLevelType w:val="hybridMultilevel"/>
    <w:tmpl w:val="006C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777F54"/>
    <w:multiLevelType w:val="multilevel"/>
    <w:tmpl w:val="11B4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AAF09"/>
    <w:multiLevelType w:val="hybridMultilevel"/>
    <w:tmpl w:val="5A9E5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8C5FD2"/>
    <w:multiLevelType w:val="hybridMultilevel"/>
    <w:tmpl w:val="45C4F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790AC8"/>
    <w:multiLevelType w:val="hybridMultilevel"/>
    <w:tmpl w:val="AE3E2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914C0B"/>
    <w:multiLevelType w:val="hybridMultilevel"/>
    <w:tmpl w:val="FD6A7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0A6B13"/>
    <w:multiLevelType w:val="hybridMultilevel"/>
    <w:tmpl w:val="01580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867DE8"/>
    <w:multiLevelType w:val="hybridMultilevel"/>
    <w:tmpl w:val="19B4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364972"/>
    <w:multiLevelType w:val="multilevel"/>
    <w:tmpl w:val="D8D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 w:numId="6">
    <w:abstractNumId w:val="10"/>
  </w:num>
  <w:num w:numId="7">
    <w:abstractNumId w:val="11"/>
  </w:num>
  <w:num w:numId="8">
    <w:abstractNumId w:val="1"/>
  </w:num>
  <w:num w:numId="9">
    <w:abstractNumId w:val="7"/>
  </w:num>
  <w:num w:numId="10">
    <w:abstractNumId w:val="6"/>
  </w:num>
  <w:num w:numId="11">
    <w:abstractNumId w:val="5"/>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53"/>
    <w:rsid w:val="0002218B"/>
    <w:rsid w:val="0004326C"/>
    <w:rsid w:val="0005391C"/>
    <w:rsid w:val="00092756"/>
    <w:rsid w:val="000A0616"/>
    <w:rsid w:val="000A7A64"/>
    <w:rsid w:val="000C65E9"/>
    <w:rsid w:val="000C7ABE"/>
    <w:rsid w:val="001007CA"/>
    <w:rsid w:val="00126623"/>
    <w:rsid w:val="00173EE4"/>
    <w:rsid w:val="00193B4F"/>
    <w:rsid w:val="001A42C0"/>
    <w:rsid w:val="00222B41"/>
    <w:rsid w:val="0025059B"/>
    <w:rsid w:val="00277879"/>
    <w:rsid w:val="00284822"/>
    <w:rsid w:val="002A0A20"/>
    <w:rsid w:val="002B0FBF"/>
    <w:rsid w:val="002C2D3D"/>
    <w:rsid w:val="002C777C"/>
    <w:rsid w:val="002F5699"/>
    <w:rsid w:val="003553F0"/>
    <w:rsid w:val="00360897"/>
    <w:rsid w:val="00390CB1"/>
    <w:rsid w:val="003D343C"/>
    <w:rsid w:val="003F2B18"/>
    <w:rsid w:val="00431C04"/>
    <w:rsid w:val="00444F22"/>
    <w:rsid w:val="00447E53"/>
    <w:rsid w:val="00452743"/>
    <w:rsid w:val="004558B7"/>
    <w:rsid w:val="004A73C6"/>
    <w:rsid w:val="004B1164"/>
    <w:rsid w:val="004C2FD3"/>
    <w:rsid w:val="004F09C7"/>
    <w:rsid w:val="00505D2D"/>
    <w:rsid w:val="005B16CE"/>
    <w:rsid w:val="005C19B4"/>
    <w:rsid w:val="005C6D35"/>
    <w:rsid w:val="00613C3E"/>
    <w:rsid w:val="006557B9"/>
    <w:rsid w:val="00673CCA"/>
    <w:rsid w:val="006A2FC3"/>
    <w:rsid w:val="006C1781"/>
    <w:rsid w:val="006D0B13"/>
    <w:rsid w:val="006D13BA"/>
    <w:rsid w:val="006E31DA"/>
    <w:rsid w:val="00712C43"/>
    <w:rsid w:val="0072293C"/>
    <w:rsid w:val="00731C6A"/>
    <w:rsid w:val="007560A1"/>
    <w:rsid w:val="00762725"/>
    <w:rsid w:val="00762D78"/>
    <w:rsid w:val="00775EB3"/>
    <w:rsid w:val="007A7AE3"/>
    <w:rsid w:val="007B274B"/>
    <w:rsid w:val="007B465B"/>
    <w:rsid w:val="007C6E67"/>
    <w:rsid w:val="007F3DA2"/>
    <w:rsid w:val="007F490C"/>
    <w:rsid w:val="008052DA"/>
    <w:rsid w:val="0082077C"/>
    <w:rsid w:val="00854889"/>
    <w:rsid w:val="00884CF5"/>
    <w:rsid w:val="008A7669"/>
    <w:rsid w:val="008B0D14"/>
    <w:rsid w:val="008C3BEA"/>
    <w:rsid w:val="008E5141"/>
    <w:rsid w:val="008E6479"/>
    <w:rsid w:val="00904B42"/>
    <w:rsid w:val="009072BD"/>
    <w:rsid w:val="00917269"/>
    <w:rsid w:val="00940FBC"/>
    <w:rsid w:val="00945ABF"/>
    <w:rsid w:val="00972C45"/>
    <w:rsid w:val="00974B12"/>
    <w:rsid w:val="0099095D"/>
    <w:rsid w:val="009A7193"/>
    <w:rsid w:val="009B612F"/>
    <w:rsid w:val="009F32B6"/>
    <w:rsid w:val="009F67B6"/>
    <w:rsid w:val="00A0359E"/>
    <w:rsid w:val="00A062D3"/>
    <w:rsid w:val="00A15BB7"/>
    <w:rsid w:val="00A60083"/>
    <w:rsid w:val="00A61BF0"/>
    <w:rsid w:val="00A75F65"/>
    <w:rsid w:val="00A82F77"/>
    <w:rsid w:val="00A84B5B"/>
    <w:rsid w:val="00A8685B"/>
    <w:rsid w:val="00AA28DE"/>
    <w:rsid w:val="00AB0444"/>
    <w:rsid w:val="00AC3C6E"/>
    <w:rsid w:val="00AD38AB"/>
    <w:rsid w:val="00AE5E63"/>
    <w:rsid w:val="00B775ED"/>
    <w:rsid w:val="00BA35B8"/>
    <w:rsid w:val="00BB3C14"/>
    <w:rsid w:val="00BD384F"/>
    <w:rsid w:val="00BF41D6"/>
    <w:rsid w:val="00C0036C"/>
    <w:rsid w:val="00C21E2D"/>
    <w:rsid w:val="00C4181D"/>
    <w:rsid w:val="00C80E3D"/>
    <w:rsid w:val="00C90843"/>
    <w:rsid w:val="00CA4141"/>
    <w:rsid w:val="00CF48E8"/>
    <w:rsid w:val="00D30ECC"/>
    <w:rsid w:val="00D317CB"/>
    <w:rsid w:val="00D43BEE"/>
    <w:rsid w:val="00D451C3"/>
    <w:rsid w:val="00D65EC1"/>
    <w:rsid w:val="00D71B58"/>
    <w:rsid w:val="00DA4747"/>
    <w:rsid w:val="00DB76C2"/>
    <w:rsid w:val="00E30DB1"/>
    <w:rsid w:val="00E61051"/>
    <w:rsid w:val="00E70EC5"/>
    <w:rsid w:val="00EB1C59"/>
    <w:rsid w:val="00ED207C"/>
    <w:rsid w:val="00EF585E"/>
    <w:rsid w:val="00F03626"/>
    <w:rsid w:val="00F316B8"/>
    <w:rsid w:val="00F461E3"/>
    <w:rsid w:val="00F60E74"/>
    <w:rsid w:val="00F713F2"/>
    <w:rsid w:val="00FC3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53"/>
    <w:rPr>
      <w:rFonts w:ascii="Times New Roman" w:eastAsia="Times New Roman" w:hAnsi="Times New Roman"/>
      <w:sz w:val="24"/>
    </w:rPr>
  </w:style>
  <w:style w:type="paragraph" w:styleId="Heading1">
    <w:name w:val="heading 1"/>
    <w:basedOn w:val="Normal"/>
    <w:next w:val="Normal"/>
    <w:link w:val="Heading1Char"/>
    <w:uiPriority w:val="9"/>
    <w:qFormat/>
    <w:rsid w:val="00447E53"/>
    <w:pPr>
      <w:keepNext/>
      <w:keepLines/>
      <w:spacing w:before="480"/>
      <w:outlineLvl w:val="0"/>
    </w:pPr>
    <w:rPr>
      <w:rFonts w:ascii="Cambria"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rsid w:val="00447E53"/>
    <w:pPr>
      <w:numPr>
        <w:ilvl w:val="1"/>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PFNumLevel4">
    <w:name w:val="PF (Num) Level 4"/>
    <w:basedOn w:val="Normal"/>
    <w:rsid w:val="00447E53"/>
    <w:pPr>
      <w:numPr>
        <w:ilvl w:val="3"/>
        <w:numId w:val="2"/>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PFNumLevel5">
    <w:name w:val="PF (Num) Level 5"/>
    <w:basedOn w:val="Normal"/>
    <w:rsid w:val="00447E53"/>
    <w:pPr>
      <w:numPr>
        <w:ilvl w:val="4"/>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447E53"/>
    <w:pPr>
      <w:keepLines w:val="0"/>
      <w:numPr>
        <w:numId w:val="2"/>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bCs w:val="0"/>
      <w:color w:val="000000"/>
      <w:kern w:val="28"/>
      <w:sz w:val="24"/>
      <w:szCs w:val="20"/>
      <w:lang w:eastAsia="en-US"/>
    </w:rPr>
  </w:style>
  <w:style w:type="character" w:customStyle="1" w:styleId="Heading1Char">
    <w:name w:val="Heading 1 Char"/>
    <w:link w:val="Heading1"/>
    <w:uiPriority w:val="9"/>
    <w:rsid w:val="00447E53"/>
    <w:rPr>
      <w:rFonts w:ascii="Cambria" w:eastAsia="Times New Roman" w:hAnsi="Cambria" w:cs="Times New Roman"/>
      <w:b/>
      <w:bCs/>
      <w:color w:val="365F91"/>
      <w:sz w:val="28"/>
      <w:szCs w:val="28"/>
      <w:lang w:eastAsia="en-AU"/>
    </w:rPr>
  </w:style>
  <w:style w:type="paragraph" w:styleId="ListParagraph">
    <w:name w:val="List Paragraph"/>
    <w:basedOn w:val="Normal"/>
    <w:uiPriority w:val="34"/>
    <w:qFormat/>
    <w:rsid w:val="00AE5E63"/>
    <w:pPr>
      <w:ind w:left="720"/>
      <w:contextualSpacing/>
    </w:pPr>
  </w:style>
  <w:style w:type="character" w:styleId="Hyperlink">
    <w:name w:val="Hyperlink"/>
    <w:uiPriority w:val="99"/>
    <w:rsid w:val="00390CB1"/>
    <w:rPr>
      <w:rFonts w:cs="Times New Roman"/>
      <w:color w:val="0000FF"/>
      <w:u w:val="none"/>
    </w:rPr>
  </w:style>
  <w:style w:type="paragraph" w:styleId="Header">
    <w:name w:val="header"/>
    <w:basedOn w:val="Normal"/>
    <w:link w:val="HeaderChar"/>
    <w:uiPriority w:val="99"/>
    <w:semiHidden/>
    <w:unhideWhenUsed/>
    <w:rsid w:val="0072293C"/>
    <w:pPr>
      <w:tabs>
        <w:tab w:val="center" w:pos="4513"/>
        <w:tab w:val="right" w:pos="9026"/>
      </w:tabs>
    </w:pPr>
    <w:rPr>
      <w:lang w:val="x-none"/>
    </w:rPr>
  </w:style>
  <w:style w:type="character" w:customStyle="1" w:styleId="HeaderChar">
    <w:name w:val="Header Char"/>
    <w:link w:val="Header"/>
    <w:uiPriority w:val="99"/>
    <w:semiHidden/>
    <w:rsid w:val="0072293C"/>
    <w:rPr>
      <w:rFonts w:ascii="Times New Roman" w:eastAsia="Times New Roman" w:hAnsi="Times New Roman" w:cs="Times New Roman"/>
      <w:sz w:val="24"/>
      <w:szCs w:val="20"/>
      <w:lang w:eastAsia="en-AU"/>
    </w:rPr>
  </w:style>
  <w:style w:type="paragraph" w:styleId="Footer">
    <w:name w:val="footer"/>
    <w:basedOn w:val="Normal"/>
    <w:link w:val="FooterChar"/>
    <w:uiPriority w:val="99"/>
    <w:semiHidden/>
    <w:unhideWhenUsed/>
    <w:rsid w:val="0072293C"/>
    <w:pPr>
      <w:tabs>
        <w:tab w:val="center" w:pos="4513"/>
        <w:tab w:val="right" w:pos="9026"/>
      </w:tabs>
    </w:pPr>
    <w:rPr>
      <w:lang w:val="x-none"/>
    </w:rPr>
  </w:style>
  <w:style w:type="character" w:customStyle="1" w:styleId="FooterChar">
    <w:name w:val="Footer Char"/>
    <w:link w:val="Footer"/>
    <w:uiPriority w:val="99"/>
    <w:semiHidden/>
    <w:rsid w:val="0072293C"/>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6557B9"/>
    <w:rPr>
      <w:rFonts w:ascii="Tahoma" w:hAnsi="Tahoma" w:cs="Tahoma"/>
      <w:sz w:val="16"/>
      <w:szCs w:val="16"/>
    </w:rPr>
  </w:style>
  <w:style w:type="character" w:customStyle="1" w:styleId="BalloonTextChar">
    <w:name w:val="Balloon Text Char"/>
    <w:link w:val="BalloonText"/>
    <w:uiPriority w:val="99"/>
    <w:semiHidden/>
    <w:rsid w:val="006557B9"/>
    <w:rPr>
      <w:rFonts w:ascii="Tahoma" w:eastAsia="Times New Roman" w:hAnsi="Tahoma" w:cs="Tahoma"/>
      <w:sz w:val="16"/>
      <w:szCs w:val="16"/>
    </w:rPr>
  </w:style>
  <w:style w:type="paragraph" w:styleId="Revision">
    <w:name w:val="Revision"/>
    <w:hidden/>
    <w:uiPriority w:val="99"/>
    <w:semiHidden/>
    <w:rsid w:val="00173EE4"/>
    <w:rPr>
      <w:rFonts w:ascii="Times New Roman" w:eastAsia="Times New Roman" w:hAnsi="Times New Roman"/>
      <w:sz w:val="24"/>
    </w:rPr>
  </w:style>
  <w:style w:type="paragraph" w:customStyle="1" w:styleId="Default">
    <w:name w:val="Default"/>
    <w:rsid w:val="006D0B13"/>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9095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53"/>
    <w:rPr>
      <w:rFonts w:ascii="Times New Roman" w:eastAsia="Times New Roman" w:hAnsi="Times New Roman"/>
      <w:sz w:val="24"/>
    </w:rPr>
  </w:style>
  <w:style w:type="paragraph" w:styleId="Heading1">
    <w:name w:val="heading 1"/>
    <w:basedOn w:val="Normal"/>
    <w:next w:val="Normal"/>
    <w:link w:val="Heading1Char"/>
    <w:uiPriority w:val="9"/>
    <w:qFormat/>
    <w:rsid w:val="00447E53"/>
    <w:pPr>
      <w:keepNext/>
      <w:keepLines/>
      <w:spacing w:before="480"/>
      <w:outlineLvl w:val="0"/>
    </w:pPr>
    <w:rPr>
      <w:rFonts w:ascii="Cambria"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rsid w:val="00447E53"/>
    <w:pPr>
      <w:numPr>
        <w:ilvl w:val="1"/>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PFNumLevel4">
    <w:name w:val="PF (Num) Level 4"/>
    <w:basedOn w:val="Normal"/>
    <w:rsid w:val="00447E53"/>
    <w:pPr>
      <w:numPr>
        <w:ilvl w:val="3"/>
        <w:numId w:val="2"/>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PFNumLevel5">
    <w:name w:val="PF (Num) Level 5"/>
    <w:basedOn w:val="Normal"/>
    <w:rsid w:val="00447E53"/>
    <w:pPr>
      <w:numPr>
        <w:ilvl w:val="4"/>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447E53"/>
    <w:pPr>
      <w:keepLines w:val="0"/>
      <w:numPr>
        <w:numId w:val="2"/>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bCs w:val="0"/>
      <w:color w:val="000000"/>
      <w:kern w:val="28"/>
      <w:sz w:val="24"/>
      <w:szCs w:val="20"/>
      <w:lang w:eastAsia="en-US"/>
    </w:rPr>
  </w:style>
  <w:style w:type="character" w:customStyle="1" w:styleId="Heading1Char">
    <w:name w:val="Heading 1 Char"/>
    <w:link w:val="Heading1"/>
    <w:uiPriority w:val="9"/>
    <w:rsid w:val="00447E53"/>
    <w:rPr>
      <w:rFonts w:ascii="Cambria" w:eastAsia="Times New Roman" w:hAnsi="Cambria" w:cs="Times New Roman"/>
      <w:b/>
      <w:bCs/>
      <w:color w:val="365F91"/>
      <w:sz w:val="28"/>
      <w:szCs w:val="28"/>
      <w:lang w:eastAsia="en-AU"/>
    </w:rPr>
  </w:style>
  <w:style w:type="paragraph" w:styleId="ListParagraph">
    <w:name w:val="List Paragraph"/>
    <w:basedOn w:val="Normal"/>
    <w:uiPriority w:val="34"/>
    <w:qFormat/>
    <w:rsid w:val="00AE5E63"/>
    <w:pPr>
      <w:ind w:left="720"/>
      <w:contextualSpacing/>
    </w:pPr>
  </w:style>
  <w:style w:type="character" w:styleId="Hyperlink">
    <w:name w:val="Hyperlink"/>
    <w:uiPriority w:val="99"/>
    <w:rsid w:val="00390CB1"/>
    <w:rPr>
      <w:rFonts w:cs="Times New Roman"/>
      <w:color w:val="0000FF"/>
      <w:u w:val="none"/>
    </w:rPr>
  </w:style>
  <w:style w:type="paragraph" w:styleId="Header">
    <w:name w:val="header"/>
    <w:basedOn w:val="Normal"/>
    <w:link w:val="HeaderChar"/>
    <w:uiPriority w:val="99"/>
    <w:semiHidden/>
    <w:unhideWhenUsed/>
    <w:rsid w:val="0072293C"/>
    <w:pPr>
      <w:tabs>
        <w:tab w:val="center" w:pos="4513"/>
        <w:tab w:val="right" w:pos="9026"/>
      </w:tabs>
    </w:pPr>
    <w:rPr>
      <w:lang w:val="x-none"/>
    </w:rPr>
  </w:style>
  <w:style w:type="character" w:customStyle="1" w:styleId="HeaderChar">
    <w:name w:val="Header Char"/>
    <w:link w:val="Header"/>
    <w:uiPriority w:val="99"/>
    <w:semiHidden/>
    <w:rsid w:val="0072293C"/>
    <w:rPr>
      <w:rFonts w:ascii="Times New Roman" w:eastAsia="Times New Roman" w:hAnsi="Times New Roman" w:cs="Times New Roman"/>
      <w:sz w:val="24"/>
      <w:szCs w:val="20"/>
      <w:lang w:eastAsia="en-AU"/>
    </w:rPr>
  </w:style>
  <w:style w:type="paragraph" w:styleId="Footer">
    <w:name w:val="footer"/>
    <w:basedOn w:val="Normal"/>
    <w:link w:val="FooterChar"/>
    <w:uiPriority w:val="99"/>
    <w:semiHidden/>
    <w:unhideWhenUsed/>
    <w:rsid w:val="0072293C"/>
    <w:pPr>
      <w:tabs>
        <w:tab w:val="center" w:pos="4513"/>
        <w:tab w:val="right" w:pos="9026"/>
      </w:tabs>
    </w:pPr>
    <w:rPr>
      <w:lang w:val="x-none"/>
    </w:rPr>
  </w:style>
  <w:style w:type="character" w:customStyle="1" w:styleId="FooterChar">
    <w:name w:val="Footer Char"/>
    <w:link w:val="Footer"/>
    <w:uiPriority w:val="99"/>
    <w:semiHidden/>
    <w:rsid w:val="0072293C"/>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6557B9"/>
    <w:rPr>
      <w:rFonts w:ascii="Tahoma" w:hAnsi="Tahoma" w:cs="Tahoma"/>
      <w:sz w:val="16"/>
      <w:szCs w:val="16"/>
    </w:rPr>
  </w:style>
  <w:style w:type="character" w:customStyle="1" w:styleId="BalloonTextChar">
    <w:name w:val="Balloon Text Char"/>
    <w:link w:val="BalloonText"/>
    <w:uiPriority w:val="99"/>
    <w:semiHidden/>
    <w:rsid w:val="006557B9"/>
    <w:rPr>
      <w:rFonts w:ascii="Tahoma" w:eastAsia="Times New Roman" w:hAnsi="Tahoma" w:cs="Tahoma"/>
      <w:sz w:val="16"/>
      <w:szCs w:val="16"/>
    </w:rPr>
  </w:style>
  <w:style w:type="paragraph" w:styleId="Revision">
    <w:name w:val="Revision"/>
    <w:hidden/>
    <w:uiPriority w:val="99"/>
    <w:semiHidden/>
    <w:rsid w:val="00173EE4"/>
    <w:rPr>
      <w:rFonts w:ascii="Times New Roman" w:eastAsia="Times New Roman" w:hAnsi="Times New Roman"/>
      <w:sz w:val="24"/>
    </w:rPr>
  </w:style>
  <w:style w:type="paragraph" w:customStyle="1" w:styleId="Default">
    <w:name w:val="Default"/>
    <w:rsid w:val="006D0B13"/>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9095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3283">
      <w:bodyDiv w:val="1"/>
      <w:marLeft w:val="0"/>
      <w:marRight w:val="0"/>
      <w:marTop w:val="0"/>
      <w:marBottom w:val="0"/>
      <w:divBdr>
        <w:top w:val="none" w:sz="0" w:space="0" w:color="auto"/>
        <w:left w:val="none" w:sz="0" w:space="0" w:color="auto"/>
        <w:bottom w:val="none" w:sz="0" w:space="0" w:color="auto"/>
        <w:right w:val="none" w:sz="0" w:space="0" w:color="auto"/>
      </w:divBdr>
      <w:divsChild>
        <w:div w:id="1776173965">
          <w:marLeft w:val="0"/>
          <w:marRight w:val="0"/>
          <w:marTop w:val="0"/>
          <w:marBottom w:val="0"/>
          <w:divBdr>
            <w:top w:val="none" w:sz="0" w:space="0" w:color="auto"/>
            <w:left w:val="none" w:sz="0" w:space="0" w:color="auto"/>
            <w:bottom w:val="none" w:sz="0" w:space="0" w:color="auto"/>
            <w:right w:val="none" w:sz="0" w:space="0" w:color="auto"/>
          </w:divBdr>
          <w:divsChild>
            <w:div w:id="67418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7514712">
      <w:bodyDiv w:val="1"/>
      <w:marLeft w:val="0"/>
      <w:marRight w:val="0"/>
      <w:marTop w:val="0"/>
      <w:marBottom w:val="0"/>
      <w:divBdr>
        <w:top w:val="none" w:sz="0" w:space="0" w:color="auto"/>
        <w:left w:val="none" w:sz="0" w:space="0" w:color="auto"/>
        <w:bottom w:val="none" w:sz="0" w:space="0" w:color="auto"/>
        <w:right w:val="none" w:sz="0" w:space="0" w:color="auto"/>
      </w:divBdr>
      <w:divsChild>
        <w:div w:id="513425625">
          <w:marLeft w:val="360"/>
          <w:marRight w:val="0"/>
          <w:marTop w:val="0"/>
          <w:marBottom w:val="120"/>
          <w:divBdr>
            <w:top w:val="none" w:sz="0" w:space="0" w:color="auto"/>
            <w:left w:val="none" w:sz="0" w:space="0" w:color="auto"/>
            <w:bottom w:val="none" w:sz="0" w:space="0" w:color="auto"/>
            <w:right w:val="none" w:sz="0" w:space="0" w:color="auto"/>
          </w:divBdr>
        </w:div>
        <w:div w:id="680014392">
          <w:marLeft w:val="360"/>
          <w:marRight w:val="0"/>
          <w:marTop w:val="0"/>
          <w:marBottom w:val="120"/>
          <w:divBdr>
            <w:top w:val="none" w:sz="0" w:space="0" w:color="auto"/>
            <w:left w:val="none" w:sz="0" w:space="0" w:color="auto"/>
            <w:bottom w:val="none" w:sz="0" w:space="0" w:color="auto"/>
            <w:right w:val="none" w:sz="0" w:space="0" w:color="auto"/>
          </w:divBdr>
        </w:div>
        <w:div w:id="812135081">
          <w:marLeft w:val="360"/>
          <w:marRight w:val="0"/>
          <w:marTop w:val="0"/>
          <w:marBottom w:val="120"/>
          <w:divBdr>
            <w:top w:val="none" w:sz="0" w:space="0" w:color="auto"/>
            <w:left w:val="none" w:sz="0" w:space="0" w:color="auto"/>
            <w:bottom w:val="none" w:sz="0" w:space="0" w:color="auto"/>
            <w:right w:val="none" w:sz="0" w:space="0" w:color="auto"/>
          </w:divBdr>
        </w:div>
        <w:div w:id="881748498">
          <w:marLeft w:val="360"/>
          <w:marRight w:val="0"/>
          <w:marTop w:val="0"/>
          <w:marBottom w:val="120"/>
          <w:divBdr>
            <w:top w:val="none" w:sz="0" w:space="0" w:color="auto"/>
            <w:left w:val="none" w:sz="0" w:space="0" w:color="auto"/>
            <w:bottom w:val="none" w:sz="0" w:space="0" w:color="auto"/>
            <w:right w:val="none" w:sz="0" w:space="0" w:color="auto"/>
          </w:divBdr>
        </w:div>
        <w:div w:id="939802156">
          <w:marLeft w:val="360"/>
          <w:marRight w:val="0"/>
          <w:marTop w:val="0"/>
          <w:marBottom w:val="120"/>
          <w:divBdr>
            <w:top w:val="none" w:sz="0" w:space="0" w:color="auto"/>
            <w:left w:val="none" w:sz="0" w:space="0" w:color="auto"/>
            <w:bottom w:val="none" w:sz="0" w:space="0" w:color="auto"/>
            <w:right w:val="none" w:sz="0" w:space="0" w:color="auto"/>
          </w:divBdr>
        </w:div>
        <w:div w:id="1264338264">
          <w:marLeft w:val="360"/>
          <w:marRight w:val="0"/>
          <w:marTop w:val="0"/>
          <w:marBottom w:val="120"/>
          <w:divBdr>
            <w:top w:val="none" w:sz="0" w:space="0" w:color="auto"/>
            <w:left w:val="none" w:sz="0" w:space="0" w:color="auto"/>
            <w:bottom w:val="none" w:sz="0" w:space="0" w:color="auto"/>
            <w:right w:val="none" w:sz="0" w:space="0" w:color="auto"/>
          </w:divBdr>
        </w:div>
        <w:div w:id="1484009987">
          <w:marLeft w:val="360"/>
          <w:marRight w:val="0"/>
          <w:marTop w:val="0"/>
          <w:marBottom w:val="120"/>
          <w:divBdr>
            <w:top w:val="none" w:sz="0" w:space="0" w:color="auto"/>
            <w:left w:val="none" w:sz="0" w:space="0" w:color="auto"/>
            <w:bottom w:val="none" w:sz="0" w:space="0" w:color="auto"/>
            <w:right w:val="none" w:sz="0" w:space="0" w:color="auto"/>
          </w:divBdr>
        </w:div>
        <w:div w:id="1831478619">
          <w:marLeft w:val="360"/>
          <w:marRight w:val="0"/>
          <w:marTop w:val="0"/>
          <w:marBottom w:val="120"/>
          <w:divBdr>
            <w:top w:val="none" w:sz="0" w:space="0" w:color="auto"/>
            <w:left w:val="none" w:sz="0" w:space="0" w:color="auto"/>
            <w:bottom w:val="none" w:sz="0" w:space="0" w:color="auto"/>
            <w:right w:val="none" w:sz="0" w:space="0" w:color="auto"/>
          </w:divBdr>
        </w:div>
      </w:divsChild>
    </w:div>
    <w:div w:id="1734040519">
      <w:bodyDiv w:val="1"/>
      <w:marLeft w:val="0"/>
      <w:marRight w:val="0"/>
      <w:marTop w:val="0"/>
      <w:marBottom w:val="0"/>
      <w:divBdr>
        <w:top w:val="none" w:sz="0" w:space="0" w:color="auto"/>
        <w:left w:val="none" w:sz="0" w:space="0" w:color="auto"/>
        <w:bottom w:val="none" w:sz="0" w:space="0" w:color="auto"/>
        <w:right w:val="none" w:sz="0" w:space="0" w:color="auto"/>
      </w:divBdr>
      <w:divsChild>
        <w:div w:id="192159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a.gov.au/ivigreview/exec-summary.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VIgReview@nba.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ba.gov.au/ivig/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B51D-F0CE-4519-BDDF-94F80122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Completion of the Review of the Authorisation and Clinical Governance Framework for Intravenous Immunoglobulin</vt:lpstr>
    </vt:vector>
  </TitlesOfParts>
  <Company>National Blood Authority</Company>
  <LinksUpToDate>false</LinksUpToDate>
  <CharactersWithSpaces>6736</CharactersWithSpaces>
  <SharedDoc>false</SharedDoc>
  <HLinks>
    <vt:vector size="12" baseType="variant">
      <vt:variant>
        <vt:i4>3866719</vt:i4>
      </vt:variant>
      <vt:variant>
        <vt:i4>3</vt:i4>
      </vt:variant>
      <vt:variant>
        <vt:i4>0</vt:i4>
      </vt:variant>
      <vt:variant>
        <vt:i4>5</vt:i4>
      </vt:variant>
      <vt:variant>
        <vt:lpwstr>mailto:IVIgReview@nba.gov.au</vt:lpwstr>
      </vt:variant>
      <vt:variant>
        <vt:lpwstr/>
      </vt:variant>
      <vt:variant>
        <vt:i4>1704022</vt:i4>
      </vt:variant>
      <vt:variant>
        <vt:i4>0</vt:i4>
      </vt:variant>
      <vt:variant>
        <vt:i4>0</vt:i4>
      </vt:variant>
      <vt:variant>
        <vt:i4>5</vt:i4>
      </vt:variant>
      <vt:variant>
        <vt:lpwstr>http://www.nba.gov.au/ivig/index.html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of the Review of the Authorisation and Clinical Governance Framework for Intravenous Immunoglobulin</dc:title>
  <dc:creator>National Blood Authority</dc:creator>
  <cp:lastModifiedBy>Stone, Michael</cp:lastModifiedBy>
  <cp:revision>2</cp:revision>
  <cp:lastPrinted>2013-03-19T04:25:00Z</cp:lastPrinted>
  <dcterms:created xsi:type="dcterms:W3CDTF">2013-04-30T23:27:00Z</dcterms:created>
  <dcterms:modified xsi:type="dcterms:W3CDTF">2013-04-30T23:27:00Z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