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7E" w:rsidRPr="00154BFC" w:rsidRDefault="007F381B" w:rsidP="002624CD">
      <w:pPr>
        <w:pStyle w:val="Title"/>
        <w:spacing w:before="3000"/>
      </w:pPr>
      <w:bookmarkStart w:id="0" w:name="_GoBack"/>
      <w:bookmarkEnd w:id="0"/>
      <w:r>
        <w:rPr>
          <w:noProof/>
          <w:lang w:eastAsia="en-AU"/>
        </w:rPr>
        <w:drawing>
          <wp:anchor distT="0" distB="0" distL="114300" distR="114300" simplePos="0" relativeHeight="251699200" behindDoc="1" locked="0" layoutInCell="1" allowOverlap="1" wp14:anchorId="08FB4B02" wp14:editId="2B792F8B">
            <wp:simplePos x="0" y="0"/>
            <wp:positionH relativeFrom="column">
              <wp:posOffset>-685800</wp:posOffset>
            </wp:positionH>
            <wp:positionV relativeFrom="paragraph">
              <wp:posOffset>-753110</wp:posOffset>
            </wp:positionV>
            <wp:extent cx="7581900" cy="10715625"/>
            <wp:effectExtent l="0" t="0" r="0" b="9525"/>
            <wp:wrapNone/>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05 Background - Report - Inventory.jpg"/>
                    <pic:cNvPicPr/>
                  </pic:nvPicPr>
                  <pic:blipFill>
                    <a:blip r:embed="rId10">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14:sizeRelH relativeFrom="page">
              <wp14:pctWidth>0</wp14:pctWidth>
            </wp14:sizeRelH>
            <wp14:sizeRelV relativeFrom="page">
              <wp14:pctHeight>0</wp14:pctHeight>
            </wp14:sizeRelV>
          </wp:anchor>
        </w:drawing>
      </w:r>
      <w:r w:rsidR="00C12F7E" w:rsidRPr="00D163F9">
        <w:t xml:space="preserve">National </w:t>
      </w:r>
      <w:r w:rsidR="00AF32C2">
        <w:t xml:space="preserve">BLOOD AND BLOOD PRODUCT </w:t>
      </w:r>
      <w:r w:rsidR="00C12F7E" w:rsidRPr="00D163F9">
        <w:t xml:space="preserve">WASTAGE REDUCTION </w:t>
      </w:r>
      <w:r w:rsidR="00C12F7E">
        <w:br/>
      </w:r>
      <w:r w:rsidR="00C12F7E" w:rsidRPr="00D163F9">
        <w:t>STRATEGY</w:t>
      </w:r>
      <w:r w:rsidR="00C12F7E">
        <w:t xml:space="preserve"> </w:t>
      </w:r>
      <w:r w:rsidR="00C12F7E" w:rsidRPr="00154BFC">
        <w:t>2013-2017</w:t>
      </w:r>
    </w:p>
    <w:p w:rsidR="00C12F7E" w:rsidRPr="00666658" w:rsidRDefault="00C12F7E" w:rsidP="00C12F7E"/>
    <w:p w:rsidR="00C12F7E" w:rsidRPr="0077785D" w:rsidRDefault="0077785D" w:rsidP="0077785D">
      <w:pPr>
        <w:pStyle w:val="Subtitle"/>
        <w:rPr>
          <w:rStyle w:val="IntenseEmphasis"/>
        </w:rPr>
      </w:pPr>
      <w:r w:rsidRPr="0077785D">
        <w:rPr>
          <w:rStyle w:val="IntenseEmphasis"/>
        </w:rPr>
        <w:t xml:space="preserve">Working smarter to minimise Blood and Blood Product </w:t>
      </w:r>
      <w:proofErr w:type="gramStart"/>
      <w:r w:rsidR="005F50B7">
        <w:rPr>
          <w:rStyle w:val="IntenseEmphasis"/>
        </w:rPr>
        <w:t>wastage</w:t>
      </w:r>
      <w:proofErr w:type="gramEnd"/>
      <w:r w:rsidR="00F03972" w:rsidRPr="0077785D">
        <w:rPr>
          <w:rStyle w:val="IntenseEmphasis"/>
        </w:rPr>
        <w:br w:type="page"/>
      </w:r>
      <w:bookmarkStart w:id="1" w:name="_Toc343260139"/>
    </w:p>
    <w:bookmarkEnd w:id="1"/>
    <w:p w:rsidR="003B27A3" w:rsidRDefault="003B27A3" w:rsidP="003B27A3">
      <w:pPr>
        <w:spacing w:after="0" w:line="312" w:lineRule="auto"/>
      </w:pPr>
    </w:p>
    <w:p w:rsidR="003335D3" w:rsidRDefault="003335D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076805" w:rsidP="00076805">
      <w:pPr>
        <w:tabs>
          <w:tab w:val="left" w:pos="5415"/>
        </w:tabs>
        <w:spacing w:after="0"/>
      </w:pPr>
      <w:r>
        <w:tab/>
      </w: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4D3721">
      <w:pPr>
        <w:spacing w:after="0"/>
      </w:pPr>
      <w:r>
        <w:rPr>
          <w:noProof/>
          <w:lang w:eastAsia="en-AU"/>
        </w:rPr>
        <mc:AlternateContent>
          <mc:Choice Requires="wps">
            <w:drawing>
              <wp:anchor distT="0" distB="0" distL="114300" distR="114300" simplePos="0" relativeHeight="251697152" behindDoc="0" locked="1" layoutInCell="1" allowOverlap="1" wp14:anchorId="5EB065A7" wp14:editId="3038AD62">
                <wp:simplePos x="0" y="0"/>
                <wp:positionH relativeFrom="page">
                  <wp:posOffset>3733800</wp:posOffset>
                </wp:positionH>
                <wp:positionV relativeFrom="page">
                  <wp:posOffset>8048625</wp:posOffset>
                </wp:positionV>
                <wp:extent cx="2924175" cy="2303780"/>
                <wp:effectExtent l="0" t="0" r="9525" b="12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D63" w:rsidRDefault="00270DA6" w:rsidP="00192D63">
                            <w:pPr>
                              <w:pStyle w:val="NoSpacing"/>
                              <w:jc w:val="right"/>
                              <w:rPr>
                                <w:b/>
                              </w:rPr>
                            </w:pPr>
                            <w:r>
                              <w:rPr>
                                <w:b/>
                                <w:noProof/>
                                <w:lang w:val="en-AU" w:eastAsia="en-AU"/>
                              </w:rPr>
                              <w:drawing>
                                <wp:inline distT="0" distB="0" distL="0" distR="0" wp14:anchorId="78331D1F" wp14:editId="5BF11762">
                                  <wp:extent cx="2828925" cy="609600"/>
                                  <wp:effectExtent l="0" t="0" r="9525" b="0"/>
                                  <wp:docPr id="10" name="Picture 1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rotWithShape="1">
                                          <a:blip r:embed="rId11">
                                            <a:extLst>
                                              <a:ext uri="{28A0092B-C50C-407E-A947-70E740481C1C}">
                                                <a14:useLocalDpi xmlns:a14="http://schemas.microsoft.com/office/drawing/2010/main" val="0"/>
                                              </a:ext>
                                            </a:extLst>
                                          </a:blip>
                                          <a:srcRect l="-2474" t="-9462" r="-2474" b="-11649"/>
                                          <a:stretch/>
                                        </pic:blipFill>
                                        <pic:spPr bwMode="auto">
                                          <a:xfrm>
                                            <a:off x="0" y="0"/>
                                            <a:ext cx="2832735" cy="610421"/>
                                          </a:xfrm>
                                          <a:prstGeom prst="rect">
                                            <a:avLst/>
                                          </a:prstGeom>
                                          <a:ln>
                                            <a:noFill/>
                                          </a:ln>
                                          <a:extLst>
                                            <a:ext uri="{53640926-AAD7-44D8-BBD7-CCE9431645EC}">
                                              <a14:shadowObscured xmlns:a14="http://schemas.microsoft.com/office/drawing/2010/main"/>
                                            </a:ext>
                                          </a:extLst>
                                        </pic:spPr>
                                      </pic:pic>
                                    </a:graphicData>
                                  </a:graphic>
                                </wp:inline>
                              </w:drawing>
                            </w:r>
                          </w:p>
                          <w:p w:rsidR="00192D63" w:rsidRDefault="00192D63" w:rsidP="00192D63">
                            <w:pPr>
                              <w:pStyle w:val="NoSpacing"/>
                              <w:jc w:val="right"/>
                              <w:rPr>
                                <w:b/>
                              </w:rPr>
                            </w:pPr>
                          </w:p>
                          <w:p w:rsidR="00192D63" w:rsidRPr="004C7DF0" w:rsidRDefault="00192D63" w:rsidP="00192D63">
                            <w:pPr>
                              <w:pStyle w:val="NoSpacing"/>
                              <w:jc w:val="right"/>
                            </w:pPr>
                            <w:r w:rsidRPr="004C7DF0">
                              <w:t>Locked Bag 8430</w:t>
                            </w:r>
                          </w:p>
                          <w:p w:rsidR="00192D63" w:rsidRDefault="00192D63" w:rsidP="00192D63">
                            <w:pPr>
                              <w:pStyle w:val="NoSpacing"/>
                              <w:jc w:val="right"/>
                            </w:pPr>
                            <w:r w:rsidRPr="004C7DF0">
                              <w:t>Canberra ACT 2601</w:t>
                            </w:r>
                          </w:p>
                          <w:p w:rsidR="00192D63" w:rsidRDefault="00192D63" w:rsidP="00192D63">
                            <w:pPr>
                              <w:pStyle w:val="NoSpacing"/>
                              <w:jc w:val="right"/>
                            </w:pPr>
                            <w:r>
                              <w:t>Phone: 13 000 BLOOD (13 000 25663)</w:t>
                            </w:r>
                          </w:p>
                          <w:p w:rsidR="00192D63" w:rsidRDefault="00192D63" w:rsidP="00192D63">
                            <w:pPr>
                              <w:pStyle w:val="NoSpacing"/>
                              <w:jc w:val="right"/>
                            </w:pPr>
                            <w:r>
                              <w:t xml:space="preserve">Email: </w:t>
                            </w:r>
                            <w:r w:rsidR="0077785D">
                              <w:t>inventory.management</w:t>
                            </w:r>
                            <w:r w:rsidRPr="0077785D">
                              <w:t>@blood.gov.au</w:t>
                            </w:r>
                            <w:r>
                              <w:t xml:space="preserve"> </w:t>
                            </w:r>
                            <w:r>
                              <w:br/>
                            </w:r>
                            <w:r w:rsidRPr="0077785D">
                              <w:t>www.blood.gov.au/</w:t>
                            </w:r>
                            <w:r w:rsidR="0077785D">
                              <w:t>wastage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94pt;margin-top:633.75pt;width:230.25pt;height:181.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wehQ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" stroked="f">
                <v:textbox>
                  <w:txbxContent>
                    <w:p w:rsidR="00192D63" w:rsidRDefault="00270DA6" w:rsidP="00192D63">
                      <w:pPr>
                        <w:pStyle w:val="NoSpacing"/>
                        <w:jc w:val="right"/>
                        <w:rPr>
                          <w:b/>
                        </w:rPr>
                      </w:pPr>
                      <w:r>
                        <w:rPr>
                          <w:b/>
                          <w:noProof/>
                          <w:lang w:val="en-AU" w:eastAsia="en-AU"/>
                        </w:rPr>
                        <w:drawing>
                          <wp:inline distT="0" distB="0" distL="0" distR="0" wp14:anchorId="78331D1F" wp14:editId="5BF11762">
                            <wp:extent cx="2828925" cy="609600"/>
                            <wp:effectExtent l="0" t="0" r="9525" b="0"/>
                            <wp:docPr id="10" name="Picture 1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rotWithShape="1">
                                    <a:blip r:embed="rId12">
                                      <a:extLst>
                                        <a:ext uri="{28A0092B-C50C-407E-A947-70E740481C1C}">
                                          <a14:useLocalDpi xmlns:a14="http://schemas.microsoft.com/office/drawing/2010/main" val="0"/>
                                        </a:ext>
                                      </a:extLst>
                                    </a:blip>
                                    <a:srcRect l="-2474" t="-9462" r="-2474" b="-11649"/>
                                    <a:stretch/>
                                  </pic:blipFill>
                                  <pic:spPr bwMode="auto">
                                    <a:xfrm>
                                      <a:off x="0" y="0"/>
                                      <a:ext cx="2832735" cy="610421"/>
                                    </a:xfrm>
                                    <a:prstGeom prst="rect">
                                      <a:avLst/>
                                    </a:prstGeom>
                                    <a:ln>
                                      <a:noFill/>
                                    </a:ln>
                                    <a:extLst>
                                      <a:ext uri="{53640926-AAD7-44D8-BBD7-CCE9431645EC}">
                                        <a14:shadowObscured xmlns:a14="http://schemas.microsoft.com/office/drawing/2010/main"/>
                                      </a:ext>
                                    </a:extLst>
                                  </pic:spPr>
                                </pic:pic>
                              </a:graphicData>
                            </a:graphic>
                          </wp:inline>
                        </w:drawing>
                      </w:r>
                    </w:p>
                    <w:p w:rsidR="00192D63" w:rsidRDefault="00192D63" w:rsidP="00192D63">
                      <w:pPr>
                        <w:pStyle w:val="NoSpacing"/>
                        <w:jc w:val="right"/>
                        <w:rPr>
                          <w:b/>
                        </w:rPr>
                      </w:pPr>
                    </w:p>
                    <w:p w:rsidR="00192D63" w:rsidRPr="004C7DF0" w:rsidRDefault="00192D63" w:rsidP="00192D63">
                      <w:pPr>
                        <w:pStyle w:val="NoSpacing"/>
                        <w:jc w:val="right"/>
                      </w:pPr>
                      <w:r w:rsidRPr="004C7DF0">
                        <w:t>Locked Bag 8430</w:t>
                      </w:r>
                    </w:p>
                    <w:p w:rsidR="00192D63" w:rsidRDefault="00192D63" w:rsidP="00192D63">
                      <w:pPr>
                        <w:pStyle w:val="NoSpacing"/>
                        <w:jc w:val="right"/>
                      </w:pPr>
                      <w:r w:rsidRPr="004C7DF0">
                        <w:t>Canberra ACT 2601</w:t>
                      </w:r>
                    </w:p>
                    <w:p w:rsidR="00192D63" w:rsidRDefault="00192D63" w:rsidP="00192D63">
                      <w:pPr>
                        <w:pStyle w:val="NoSpacing"/>
                        <w:jc w:val="right"/>
                      </w:pPr>
                      <w:r>
                        <w:t>Phone: 13 000 BLOOD (13 000 25663)</w:t>
                      </w:r>
                    </w:p>
                    <w:p w:rsidR="00192D63" w:rsidRDefault="00192D63" w:rsidP="00192D63">
                      <w:pPr>
                        <w:pStyle w:val="NoSpacing"/>
                        <w:jc w:val="right"/>
                      </w:pPr>
                      <w:r>
                        <w:t xml:space="preserve">Email: </w:t>
                      </w:r>
                      <w:r w:rsidR="0077785D">
                        <w:t>inventory.management</w:t>
                      </w:r>
                      <w:r w:rsidRPr="0077785D">
                        <w:t>@blood.gov.au</w:t>
                      </w:r>
                      <w:r>
                        <w:t xml:space="preserve"> </w:t>
                      </w:r>
                      <w:r>
                        <w:br/>
                      </w:r>
                      <w:r w:rsidRPr="0077785D">
                        <w:t>www.blood.gov.au/</w:t>
                      </w:r>
                      <w:r w:rsidR="0077785D">
                        <w:t>wastage</w:t>
                      </w:r>
                    </w:p>
                  </w:txbxContent>
                </v:textbox>
                <w10:wrap anchorx="page" anchory="page"/>
                <w10:anchorlock/>
              </v:shape>
            </w:pict>
          </mc:Fallback>
        </mc:AlternateContent>
      </w: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Default="00192D63">
      <w:pPr>
        <w:spacing w:after="0"/>
      </w:pPr>
    </w:p>
    <w:p w:rsidR="00192D63" w:rsidRPr="00922E79" w:rsidRDefault="00192D63" w:rsidP="00270DA6">
      <w:pPr>
        <w:pStyle w:val="Heading1"/>
      </w:pPr>
      <w:r>
        <w:lastRenderedPageBreak/>
        <w:t>Foreword</w:t>
      </w:r>
    </w:p>
    <w:p w:rsidR="00192D63" w:rsidRDefault="00192D63" w:rsidP="00192D63">
      <w:pPr>
        <w:spacing w:after="240" w:line="312" w:lineRule="auto"/>
        <w:rPr>
          <w:rFonts w:cs="Arial"/>
          <w:sz w:val="24"/>
        </w:rPr>
      </w:pPr>
      <w:r>
        <w:t xml:space="preserve">Blood and blood products are used in hospitals across Australia every day to save lives. </w:t>
      </w:r>
      <w:r w:rsidR="00AF32C2">
        <w:t xml:space="preserve">The </w:t>
      </w:r>
      <w:r w:rsidR="0077785D">
        <w:t>availability</w:t>
      </w:r>
      <w:r w:rsidR="00AF32C2">
        <w:t xml:space="preserve"> of blood and blood products </w:t>
      </w:r>
      <w:r>
        <w:t xml:space="preserve">is facilitated by the generosity of voluntary blood donors and funded by Australian governments who invest over $1.1 billion per annum in </w:t>
      </w:r>
      <w:r w:rsidR="00AF32C2">
        <w:t xml:space="preserve">collection, </w:t>
      </w:r>
      <w:r>
        <w:t>processing, procuring and distributing these products through the Australian Red Cross Blood Service (Blood Service) and other suppliers to health providers.</w:t>
      </w:r>
      <w:r w:rsidDel="00656700">
        <w:rPr>
          <w:rFonts w:cs="Arial"/>
          <w:sz w:val="24"/>
        </w:rPr>
        <w:t xml:space="preserve"> </w:t>
      </w:r>
    </w:p>
    <w:p w:rsidR="00192D63" w:rsidRPr="00656700" w:rsidRDefault="00192D63" w:rsidP="00192D63">
      <w:pPr>
        <w:spacing w:after="240" w:line="312" w:lineRule="auto"/>
      </w:pPr>
      <w:r w:rsidRPr="00656700">
        <w:rPr>
          <w:rFonts w:cs="Arial"/>
        </w:rPr>
        <w:t xml:space="preserve">As such, all parts of the supply chain for blood and blood products have a responsibility to ensure </w:t>
      </w:r>
      <w:r>
        <w:rPr>
          <w:rFonts w:cs="Arial"/>
        </w:rPr>
        <w:t>that all aspects of the supply chain including transport, storage and inventory management minimise unnecessary wastage.</w:t>
      </w:r>
    </w:p>
    <w:p w:rsidR="00192D63" w:rsidRPr="005010D3" w:rsidRDefault="00192D63" w:rsidP="00192D63">
      <w:pPr>
        <w:spacing w:after="240" w:line="312" w:lineRule="auto"/>
      </w:pPr>
      <w:r>
        <w:t>A certain level of discards of blood and blood products</w:t>
      </w:r>
      <w:r w:rsidR="00262FF0">
        <w:t>, particularly fresh products with short expir</w:t>
      </w:r>
      <w:r w:rsidR="00AF32C2">
        <w:t>y dates</w:t>
      </w:r>
      <w:r w:rsidR="00262FF0">
        <w:t xml:space="preserve"> </w:t>
      </w:r>
      <w:r>
        <w:t xml:space="preserve">is both inevitable and appropriate to ensure that products are available where and when they are clinically </w:t>
      </w:r>
      <w:r w:rsidR="00A80A44">
        <w:t>necessary</w:t>
      </w:r>
      <w:r>
        <w:t xml:space="preserve">. However, there is a proportion of </w:t>
      </w:r>
      <w:r w:rsidR="00AB0792">
        <w:t xml:space="preserve">discards </w:t>
      </w:r>
      <w:r>
        <w:t>of blood and blood products that is neither inevitable nor appropriate. This Strategy is focus</w:t>
      </w:r>
      <w:r w:rsidR="00AD4DA2">
        <w:t xml:space="preserve">ed on eliminating </w:t>
      </w:r>
      <w:r w:rsidR="00AB0792">
        <w:t xml:space="preserve">this proportion of avoidable discards, known as wastage. </w:t>
      </w:r>
    </w:p>
    <w:p w:rsidR="00192D63" w:rsidRDefault="00192D63" w:rsidP="00192D63">
      <w:pPr>
        <w:spacing w:after="240" w:line="312" w:lineRule="auto"/>
      </w:pPr>
      <w:r w:rsidRPr="005010D3">
        <w:t xml:space="preserve">In November 2010, Australian Health Ministers endorsed the Statement of National Stewardship Expectations for the Supply of Blood and Blood Products. As outlined in the </w:t>
      </w:r>
      <w:r w:rsidR="00AF32C2">
        <w:t>S</w:t>
      </w:r>
      <w:r w:rsidRPr="005010D3">
        <w:t>tatement, Health Ministers expect hea</w:t>
      </w:r>
      <w:r>
        <w:t>l</w:t>
      </w:r>
      <w:r w:rsidRPr="005010D3">
        <w:t>th providers to contribute to the sustainability of the blood supply, including the minimisation of cost and wastage.</w:t>
      </w:r>
      <w:r w:rsidR="003818E3">
        <w:t xml:space="preserve">  This </w:t>
      </w:r>
      <w:r w:rsidR="003818E3" w:rsidRPr="00FD0B45">
        <w:t>is consistent with the National Safety and Quality Health Service (</w:t>
      </w:r>
      <w:proofErr w:type="spellStart"/>
      <w:r w:rsidR="003818E3" w:rsidRPr="00FD0B45">
        <w:t>NSQHS</w:t>
      </w:r>
      <w:proofErr w:type="spellEnd"/>
      <w:r w:rsidR="003818E3" w:rsidRPr="00FD0B45">
        <w:t xml:space="preserve">) Standard 7, “Blood and Blood Products” which requires health service organisations to </w:t>
      </w:r>
      <w:r w:rsidR="003818E3">
        <w:t>minimise</w:t>
      </w:r>
      <w:r w:rsidR="003818E3" w:rsidRPr="00FD0B45">
        <w:t xml:space="preserve"> wastage of blood and blood products.</w:t>
      </w:r>
    </w:p>
    <w:p w:rsidR="00192D63" w:rsidRDefault="00192D63" w:rsidP="00192D63">
      <w:pPr>
        <w:spacing w:after="240" w:line="312" w:lineRule="auto"/>
      </w:pPr>
      <w:r>
        <w:t>The Strategy seeks to reduce unnecessary wastage of blood and blood products through two streams of work:</w:t>
      </w:r>
    </w:p>
    <w:p w:rsidR="00192D63" w:rsidRDefault="00192D63" w:rsidP="00192D63">
      <w:pPr>
        <w:pStyle w:val="ListParagraph"/>
        <w:numPr>
          <w:ilvl w:val="0"/>
          <w:numId w:val="1"/>
        </w:numPr>
        <w:spacing w:after="240" w:line="312" w:lineRule="auto"/>
      </w:pPr>
      <w:r w:rsidRPr="00C74BFB">
        <w:rPr>
          <w:b/>
        </w:rPr>
        <w:t xml:space="preserve">Supply </w:t>
      </w:r>
      <w:r>
        <w:rPr>
          <w:b/>
        </w:rPr>
        <w:t>C</w:t>
      </w:r>
      <w:r w:rsidRPr="00C74BFB">
        <w:rPr>
          <w:b/>
        </w:rPr>
        <w:t xml:space="preserve">hain </w:t>
      </w:r>
      <w:r>
        <w:rPr>
          <w:b/>
        </w:rPr>
        <w:t>E</w:t>
      </w:r>
      <w:r w:rsidRPr="00C74BFB">
        <w:rPr>
          <w:b/>
        </w:rPr>
        <w:t>fficiencies</w:t>
      </w:r>
      <w:r>
        <w:t xml:space="preserve"> from the point of collection to the point of issue of blood and blood products to health providers from suppliers and distributors; and</w:t>
      </w:r>
    </w:p>
    <w:p w:rsidR="00192D63" w:rsidRDefault="00192D63" w:rsidP="00192D63">
      <w:pPr>
        <w:pStyle w:val="ListParagraph"/>
        <w:numPr>
          <w:ilvl w:val="0"/>
          <w:numId w:val="1"/>
        </w:numPr>
        <w:spacing w:after="240" w:line="312" w:lineRule="auto"/>
      </w:pPr>
      <w:r>
        <w:rPr>
          <w:b/>
        </w:rPr>
        <w:t>Improving Health Provider Inventory management</w:t>
      </w:r>
      <w:r>
        <w:t xml:space="preserve"> from the point of receipt of blood and blood products to the transfusion of these units to patients. </w:t>
      </w:r>
    </w:p>
    <w:p w:rsidR="00192D63" w:rsidRDefault="00192D63" w:rsidP="00192D63">
      <w:pPr>
        <w:spacing w:after="240" w:line="312" w:lineRule="auto"/>
      </w:pPr>
      <w:r>
        <w:t>This work will complement other work currently underway by Australian governments, the National Blood Authority and health providers in relation to improving the appropriate use of blood and blood products.</w:t>
      </w:r>
    </w:p>
    <w:p w:rsidR="00192D63" w:rsidRPr="005010D3" w:rsidRDefault="00192D63" w:rsidP="00192D63">
      <w:pPr>
        <w:spacing w:after="240" w:line="312" w:lineRule="auto"/>
      </w:pPr>
      <w:r>
        <w:t xml:space="preserve">Regular updates on progress against items identified in this Strategy will be available online at </w:t>
      </w:r>
      <w:hyperlink r:id="rId13" w:history="1">
        <w:r w:rsidR="005F50B7" w:rsidRPr="00254F8F">
          <w:rPr>
            <w:rStyle w:val="Hyperlink"/>
          </w:rPr>
          <w:t>www.blood.gov.au/wastage</w:t>
        </w:r>
      </w:hyperlink>
      <w:r w:rsidR="005F50B7">
        <w:t xml:space="preserve"> </w:t>
      </w:r>
      <w:r>
        <w:t>.  We will review this Strategy on a regular basis to ensure its ongoing effectiveness in the campaign to eliminate unnecessary wastage.</w:t>
      </w:r>
    </w:p>
    <w:p w:rsidR="003335D3" w:rsidRPr="00270DA6" w:rsidRDefault="00F747F1" w:rsidP="00270DA6">
      <w:pPr>
        <w:pStyle w:val="Heading1"/>
      </w:pPr>
      <w:r w:rsidRPr="00270DA6">
        <w:lastRenderedPageBreak/>
        <w:t xml:space="preserve">Current </w:t>
      </w:r>
      <w:r w:rsidR="00AD4DA2" w:rsidRPr="00270DA6">
        <w:t>p</w:t>
      </w:r>
      <w:r w:rsidRPr="00270DA6">
        <w:t>osition</w:t>
      </w:r>
    </w:p>
    <w:p w:rsidR="00C90C2B" w:rsidRDefault="00C90C2B">
      <w:pPr>
        <w:spacing w:after="0"/>
      </w:pPr>
      <w:r>
        <w:t xml:space="preserve">Historically, the voluntary provision of data on discards of </w:t>
      </w:r>
      <w:r w:rsidR="00915F19">
        <w:t xml:space="preserve">blood and </w:t>
      </w:r>
      <w:r>
        <w:t>blood products has been highly variable</w:t>
      </w:r>
      <w:r w:rsidR="00D0673B">
        <w:t xml:space="preserve">, </w:t>
      </w:r>
      <w:r>
        <w:t xml:space="preserve">with limited take-up of the existing reporting mechanisms and reporting usually limited to fresh blood </w:t>
      </w:r>
      <w:r w:rsidR="00D0673B">
        <w:t xml:space="preserve">products </w:t>
      </w:r>
      <w:r>
        <w:t xml:space="preserve">(Red Blood Cells, Platelets and </w:t>
      </w:r>
      <w:r w:rsidR="00522F38">
        <w:t xml:space="preserve">Clinical </w:t>
      </w:r>
      <w:r>
        <w:t xml:space="preserve">Fresh Frozen Plasma). </w:t>
      </w:r>
      <w:r w:rsidR="001812DE">
        <w:t xml:space="preserve">These factors have inhibited </w:t>
      </w:r>
      <w:r w:rsidR="00507B1A">
        <w:t>the baseline data that can be provided</w:t>
      </w:r>
      <w:r w:rsidR="004226E3">
        <w:t xml:space="preserve"> and make it difficult in some cases, to identify the proportion of discards which could reasonably have been avoided.</w:t>
      </w:r>
    </w:p>
    <w:p w:rsidR="00C90C2B" w:rsidRDefault="00C90C2B">
      <w:pPr>
        <w:spacing w:after="0"/>
      </w:pPr>
    </w:p>
    <w:p w:rsidR="00C90C2B" w:rsidRDefault="005B0B3E">
      <w:pPr>
        <w:spacing w:after="0"/>
      </w:pPr>
      <w:r>
        <w:t>Governments are addressing t</w:t>
      </w:r>
      <w:r w:rsidR="00C90C2B">
        <w:t>his deficiency with the development and implementation of the Fate module in BloodNet</w:t>
      </w:r>
      <w:r>
        <w:t xml:space="preserve"> (the national online ordering and inventory management system operated by the National Blood Authority)</w:t>
      </w:r>
      <w:r w:rsidR="00D0673B">
        <w:t xml:space="preserve">. The Fate module </w:t>
      </w:r>
      <w:r w:rsidR="00C90C2B">
        <w:t xml:space="preserve">enables laboratory staff to </w:t>
      </w:r>
      <w:r>
        <w:t xml:space="preserve">easily </w:t>
      </w:r>
      <w:r w:rsidR="00C90C2B">
        <w:t xml:space="preserve">report </w:t>
      </w:r>
      <w:r w:rsidR="00915F19">
        <w:t xml:space="preserve">discards for all </w:t>
      </w:r>
      <w:r w:rsidR="00D0673B">
        <w:t xml:space="preserve">blood and blood products. </w:t>
      </w:r>
      <w:r w:rsidR="00C90C2B">
        <w:t xml:space="preserve">Implementation of the Fate module in BloodNet </w:t>
      </w:r>
      <w:r w:rsidR="004226E3">
        <w:t xml:space="preserve">as at mid-February 2013 </w:t>
      </w:r>
      <w:r w:rsidR="00024B44">
        <w:t>currently covers approximately</w:t>
      </w:r>
      <w:r w:rsidR="00C90C2B">
        <w:t xml:space="preserve"> </w:t>
      </w:r>
      <w:r w:rsidR="00C90C2B" w:rsidRPr="003D2D75">
        <w:t>8</w:t>
      </w:r>
      <w:r w:rsidR="003D2D75">
        <w:t>0</w:t>
      </w:r>
      <w:r w:rsidR="00C90C2B">
        <w:t>% of national issues, with further imp</w:t>
      </w:r>
      <w:r w:rsidR="00024B44">
        <w:t>rovement</w:t>
      </w:r>
      <w:r w:rsidR="00C90C2B">
        <w:t xml:space="preserve"> occurring each week.</w:t>
      </w:r>
    </w:p>
    <w:p w:rsidR="00C90C2B" w:rsidRDefault="00C90C2B">
      <w:pPr>
        <w:spacing w:after="0"/>
      </w:pPr>
    </w:p>
    <w:p w:rsidR="00D60AE1" w:rsidRDefault="00507B1A" w:rsidP="004C5C6A">
      <w:pPr>
        <w:spacing w:after="0"/>
      </w:pPr>
      <w:r>
        <w:t xml:space="preserve">Data from 2011-12 is </w:t>
      </w:r>
      <w:r w:rsidR="00D0673B">
        <w:t xml:space="preserve">more </w:t>
      </w:r>
      <w:r>
        <w:t xml:space="preserve">complete for fresh blood </w:t>
      </w:r>
      <w:r w:rsidR="00D0673B">
        <w:t xml:space="preserve">products </w:t>
      </w:r>
      <w:r>
        <w:t>(such as Red Blood Cells, Pla</w:t>
      </w:r>
      <w:r w:rsidR="004C5C6A">
        <w:t xml:space="preserve">telets and </w:t>
      </w:r>
      <w:r w:rsidR="00D0673B">
        <w:t xml:space="preserve">Clinical </w:t>
      </w:r>
      <w:r w:rsidR="004C5C6A">
        <w:t>Fresh Frozen Plasma)</w:t>
      </w:r>
      <w:r w:rsidR="007311F0">
        <w:t xml:space="preserve"> with more than 80% </w:t>
      </w:r>
      <w:r w:rsidR="008D49F7">
        <w:t xml:space="preserve">coverage </w:t>
      </w:r>
      <w:r w:rsidR="007311F0">
        <w:t>in most products</w:t>
      </w:r>
      <w:r w:rsidR="00AD4DA2">
        <w:t>. D</w:t>
      </w:r>
      <w:r w:rsidR="007311F0">
        <w:t xml:space="preserve">uring this </w:t>
      </w:r>
      <w:r w:rsidR="004C5C6A">
        <w:t xml:space="preserve">period </w:t>
      </w:r>
      <w:r w:rsidR="00C90C2B">
        <w:t xml:space="preserve">health providers were issued 1.1 million </w:t>
      </w:r>
      <w:r w:rsidR="004C5C6A">
        <w:t>units</w:t>
      </w:r>
      <w:r w:rsidR="00C90C2B">
        <w:t>, valued at over $386 million</w:t>
      </w:r>
      <w:r w:rsidR="004226E3">
        <w:t xml:space="preserve">.   Of these 1.1 million units, </w:t>
      </w:r>
      <w:r w:rsidR="00232707">
        <w:t>63,413</w:t>
      </w:r>
      <w:r w:rsidR="004226E3">
        <w:t xml:space="preserve"> units were reported as discarded by health providers, valued at $23,</w:t>
      </w:r>
      <w:r w:rsidR="00232707">
        <w:t>040,286</w:t>
      </w:r>
      <w:r w:rsidR="004226E3">
        <w:t xml:space="preserve"> as outlined in the table below.</w:t>
      </w:r>
    </w:p>
    <w:p w:rsidR="004226E3" w:rsidRDefault="004226E3" w:rsidP="004C5C6A">
      <w:pPr>
        <w:spacing w:after="0"/>
      </w:pPr>
    </w:p>
    <w:tbl>
      <w:tblPr>
        <w:tblStyle w:val="NBATableStyle3"/>
        <w:tblW w:w="9464" w:type="dxa"/>
        <w:tblLayout w:type="fixed"/>
        <w:tblLook w:val="04A0" w:firstRow="1" w:lastRow="0" w:firstColumn="1" w:lastColumn="0" w:noHBand="0" w:noVBand="1"/>
        <w:tblDescription w:val="Product volume issued versus discarded by health providers"/>
      </w:tblPr>
      <w:tblGrid>
        <w:gridCol w:w="2943"/>
        <w:gridCol w:w="1418"/>
        <w:gridCol w:w="1559"/>
        <w:gridCol w:w="1701"/>
        <w:gridCol w:w="1814"/>
        <w:gridCol w:w="29"/>
      </w:tblGrid>
      <w:tr w:rsidR="00193D14" w:rsidTr="009F1977">
        <w:trPr>
          <w:gridAfter w:val="1"/>
          <w:cnfStyle w:val="100000000000" w:firstRow="1" w:lastRow="0" w:firstColumn="0" w:lastColumn="0" w:oddVBand="0" w:evenVBand="0" w:oddHBand="0" w:evenHBand="0" w:firstRowFirstColumn="0" w:firstRowLastColumn="0" w:lastRowFirstColumn="0" w:lastRowLastColumn="0"/>
          <w:wAfter w:w="29" w:type="dxa"/>
          <w:tblHeader/>
        </w:trPr>
        <w:tc>
          <w:tcPr>
            <w:tcW w:w="2943" w:type="dxa"/>
          </w:tcPr>
          <w:p w:rsidR="00193D14" w:rsidRDefault="00193D14" w:rsidP="004C5C6A">
            <w:pPr>
              <w:spacing w:after="0"/>
            </w:pPr>
            <w:r>
              <w:t>Product</w:t>
            </w:r>
          </w:p>
        </w:tc>
        <w:tc>
          <w:tcPr>
            <w:tcW w:w="2977" w:type="dxa"/>
            <w:gridSpan w:val="2"/>
          </w:tcPr>
          <w:p w:rsidR="00193D14" w:rsidRDefault="00193D14" w:rsidP="004C5C6A">
            <w:pPr>
              <w:spacing w:after="0"/>
            </w:pPr>
            <w:r>
              <w:t>Issued to Health Providers</w:t>
            </w:r>
          </w:p>
        </w:tc>
        <w:tc>
          <w:tcPr>
            <w:tcW w:w="3515" w:type="dxa"/>
            <w:gridSpan w:val="2"/>
          </w:tcPr>
          <w:p w:rsidR="00193D14" w:rsidRDefault="00193D14" w:rsidP="004C5C6A">
            <w:pPr>
              <w:spacing w:after="0"/>
            </w:pPr>
            <w:r>
              <w:t>Discarded by Health Providers</w:t>
            </w:r>
          </w:p>
        </w:tc>
      </w:tr>
      <w:tr w:rsidR="007F381B" w:rsidRPr="007F381B" w:rsidTr="007F381B">
        <w:trPr>
          <w:cnfStyle w:val="000000100000" w:firstRow="0" w:lastRow="0" w:firstColumn="0" w:lastColumn="0" w:oddVBand="0" w:evenVBand="0" w:oddHBand="1" w:evenHBand="0" w:firstRowFirstColumn="0" w:firstRowLastColumn="0" w:lastRowFirstColumn="0" w:lastRowLastColumn="0"/>
        </w:trPr>
        <w:tc>
          <w:tcPr>
            <w:tcW w:w="2943" w:type="dxa"/>
          </w:tcPr>
          <w:p w:rsidR="000A35B3" w:rsidRPr="007F381B" w:rsidRDefault="000A35B3" w:rsidP="004C5C6A">
            <w:pPr>
              <w:spacing w:after="0"/>
            </w:pPr>
          </w:p>
        </w:tc>
        <w:tc>
          <w:tcPr>
            <w:tcW w:w="1418" w:type="dxa"/>
          </w:tcPr>
          <w:p w:rsidR="000A35B3" w:rsidRPr="007F381B" w:rsidRDefault="000A35B3" w:rsidP="00193D14">
            <w:pPr>
              <w:spacing w:after="0"/>
              <w:jc w:val="right"/>
              <w:rPr>
                <w:b/>
              </w:rPr>
            </w:pPr>
            <w:r w:rsidRPr="007F381B">
              <w:rPr>
                <w:b/>
              </w:rPr>
              <w:t>Volume (units)</w:t>
            </w:r>
          </w:p>
        </w:tc>
        <w:tc>
          <w:tcPr>
            <w:tcW w:w="1559" w:type="dxa"/>
          </w:tcPr>
          <w:p w:rsidR="000A35B3" w:rsidRPr="007F381B" w:rsidRDefault="000A35B3" w:rsidP="00193D14">
            <w:pPr>
              <w:spacing w:after="0"/>
              <w:jc w:val="right"/>
              <w:rPr>
                <w:b/>
              </w:rPr>
            </w:pPr>
            <w:r w:rsidRPr="007F381B">
              <w:rPr>
                <w:b/>
              </w:rPr>
              <w:t>Cost</w:t>
            </w:r>
          </w:p>
        </w:tc>
        <w:tc>
          <w:tcPr>
            <w:tcW w:w="1701" w:type="dxa"/>
          </w:tcPr>
          <w:p w:rsidR="000A35B3" w:rsidRPr="007F381B" w:rsidRDefault="000A35B3" w:rsidP="00193D14">
            <w:pPr>
              <w:spacing w:after="0"/>
              <w:jc w:val="right"/>
              <w:rPr>
                <w:b/>
              </w:rPr>
            </w:pPr>
            <w:r w:rsidRPr="007F381B">
              <w:rPr>
                <w:b/>
              </w:rPr>
              <w:t>Volume (units)</w:t>
            </w:r>
          </w:p>
        </w:tc>
        <w:tc>
          <w:tcPr>
            <w:tcW w:w="1843" w:type="dxa"/>
            <w:gridSpan w:val="2"/>
          </w:tcPr>
          <w:p w:rsidR="000A35B3" w:rsidRPr="007F381B" w:rsidRDefault="000A35B3" w:rsidP="00193D14">
            <w:pPr>
              <w:spacing w:after="0"/>
              <w:jc w:val="right"/>
              <w:rPr>
                <w:b/>
              </w:rPr>
            </w:pPr>
            <w:r w:rsidRPr="007F381B">
              <w:rPr>
                <w:b/>
              </w:rPr>
              <w:t>Cost</w:t>
            </w:r>
          </w:p>
        </w:tc>
      </w:tr>
      <w:tr w:rsidR="000A35B3" w:rsidTr="007F381B">
        <w:trPr>
          <w:cnfStyle w:val="000000010000" w:firstRow="0" w:lastRow="0" w:firstColumn="0" w:lastColumn="0" w:oddVBand="0" w:evenVBand="0" w:oddHBand="0" w:evenHBand="1" w:firstRowFirstColumn="0" w:firstRowLastColumn="0" w:lastRowFirstColumn="0" w:lastRowLastColumn="0"/>
        </w:trPr>
        <w:tc>
          <w:tcPr>
            <w:tcW w:w="2943" w:type="dxa"/>
          </w:tcPr>
          <w:p w:rsidR="000A35B3" w:rsidRDefault="000A35B3" w:rsidP="004C5C6A">
            <w:pPr>
              <w:spacing w:after="0"/>
            </w:pPr>
            <w:r>
              <w:t>Red Blood Cells</w:t>
            </w:r>
          </w:p>
        </w:tc>
        <w:tc>
          <w:tcPr>
            <w:tcW w:w="1418" w:type="dxa"/>
          </w:tcPr>
          <w:p w:rsidR="000A35B3" w:rsidRDefault="000A35B3" w:rsidP="00193D14">
            <w:pPr>
              <w:spacing w:after="0"/>
              <w:jc w:val="right"/>
            </w:pPr>
            <w:r>
              <w:t>809,588</w:t>
            </w:r>
          </w:p>
        </w:tc>
        <w:tc>
          <w:tcPr>
            <w:tcW w:w="1559" w:type="dxa"/>
          </w:tcPr>
          <w:p w:rsidR="000A35B3" w:rsidRDefault="000A35B3" w:rsidP="00193D14">
            <w:pPr>
              <w:spacing w:after="0"/>
              <w:jc w:val="right"/>
            </w:pPr>
            <w:r>
              <w:t>$281,285,614</w:t>
            </w:r>
          </w:p>
        </w:tc>
        <w:tc>
          <w:tcPr>
            <w:tcW w:w="1701" w:type="dxa"/>
          </w:tcPr>
          <w:p w:rsidR="000A35B3" w:rsidRPr="00C508AC" w:rsidRDefault="000A35B3" w:rsidP="00193D14">
            <w:pPr>
              <w:spacing w:after="0"/>
              <w:jc w:val="right"/>
            </w:pPr>
            <w:r w:rsidRPr="00C508AC">
              <w:t>27,362</w:t>
            </w:r>
          </w:p>
        </w:tc>
        <w:tc>
          <w:tcPr>
            <w:tcW w:w="1843" w:type="dxa"/>
            <w:gridSpan w:val="2"/>
          </w:tcPr>
          <w:p w:rsidR="000A35B3" w:rsidRDefault="000A35B3" w:rsidP="00C508AC">
            <w:pPr>
              <w:spacing w:after="0"/>
              <w:jc w:val="right"/>
            </w:pPr>
            <w:r>
              <w:t>$9,506,733</w:t>
            </w:r>
          </w:p>
        </w:tc>
      </w:tr>
      <w:tr w:rsidR="000A35B3" w:rsidTr="007F381B">
        <w:trPr>
          <w:cnfStyle w:val="000000100000" w:firstRow="0" w:lastRow="0" w:firstColumn="0" w:lastColumn="0" w:oddVBand="0" w:evenVBand="0" w:oddHBand="1" w:evenHBand="0" w:firstRowFirstColumn="0" w:firstRowLastColumn="0" w:lastRowFirstColumn="0" w:lastRowLastColumn="0"/>
        </w:trPr>
        <w:tc>
          <w:tcPr>
            <w:tcW w:w="2943" w:type="dxa"/>
          </w:tcPr>
          <w:p w:rsidR="000A35B3" w:rsidRDefault="000A35B3" w:rsidP="004C5C6A">
            <w:pPr>
              <w:spacing w:after="0"/>
            </w:pPr>
            <w:r>
              <w:t>Platelets</w:t>
            </w:r>
          </w:p>
        </w:tc>
        <w:tc>
          <w:tcPr>
            <w:tcW w:w="1418" w:type="dxa"/>
          </w:tcPr>
          <w:p w:rsidR="000A35B3" w:rsidRDefault="000A35B3" w:rsidP="00193D14">
            <w:pPr>
              <w:spacing w:after="0"/>
              <w:jc w:val="right"/>
            </w:pPr>
            <w:r>
              <w:t>136,786</w:t>
            </w:r>
          </w:p>
        </w:tc>
        <w:tc>
          <w:tcPr>
            <w:tcW w:w="1559" w:type="dxa"/>
          </w:tcPr>
          <w:p w:rsidR="000A35B3" w:rsidRDefault="000A35B3" w:rsidP="00193D14">
            <w:pPr>
              <w:spacing w:after="0"/>
              <w:jc w:val="right"/>
            </w:pPr>
            <w:r>
              <w:t>$58,392,076</w:t>
            </w:r>
          </w:p>
        </w:tc>
        <w:tc>
          <w:tcPr>
            <w:tcW w:w="1701" w:type="dxa"/>
          </w:tcPr>
          <w:p w:rsidR="000A35B3" w:rsidRPr="00C508AC" w:rsidRDefault="000A35B3" w:rsidP="00193D14">
            <w:pPr>
              <w:spacing w:after="0"/>
              <w:jc w:val="right"/>
            </w:pPr>
            <w:r w:rsidRPr="00C508AC">
              <w:t>22,618</w:t>
            </w:r>
          </w:p>
        </w:tc>
        <w:tc>
          <w:tcPr>
            <w:tcW w:w="1843" w:type="dxa"/>
            <w:gridSpan w:val="2"/>
          </w:tcPr>
          <w:p w:rsidR="000A35B3" w:rsidRDefault="000A35B3" w:rsidP="00C508AC">
            <w:pPr>
              <w:spacing w:after="0"/>
              <w:jc w:val="right"/>
            </w:pPr>
            <w:r>
              <w:t>$9,655,315</w:t>
            </w:r>
          </w:p>
        </w:tc>
      </w:tr>
      <w:tr w:rsidR="000A35B3" w:rsidTr="007F381B">
        <w:trPr>
          <w:cnfStyle w:val="000000010000" w:firstRow="0" w:lastRow="0" w:firstColumn="0" w:lastColumn="0" w:oddVBand="0" w:evenVBand="0" w:oddHBand="0" w:evenHBand="1" w:firstRowFirstColumn="0" w:firstRowLastColumn="0" w:lastRowFirstColumn="0" w:lastRowLastColumn="0"/>
        </w:trPr>
        <w:tc>
          <w:tcPr>
            <w:tcW w:w="2943" w:type="dxa"/>
          </w:tcPr>
          <w:p w:rsidR="000A35B3" w:rsidRDefault="000A35B3" w:rsidP="004C5C6A">
            <w:pPr>
              <w:spacing w:after="0"/>
            </w:pPr>
            <w:r>
              <w:t>Clinical Fresh Frozen Plasma</w:t>
            </w:r>
          </w:p>
        </w:tc>
        <w:tc>
          <w:tcPr>
            <w:tcW w:w="1418" w:type="dxa"/>
          </w:tcPr>
          <w:p w:rsidR="000A35B3" w:rsidRDefault="000A35B3" w:rsidP="00193D14">
            <w:pPr>
              <w:spacing w:after="0"/>
              <w:jc w:val="right"/>
            </w:pPr>
            <w:r>
              <w:t>160,547</w:t>
            </w:r>
          </w:p>
        </w:tc>
        <w:tc>
          <w:tcPr>
            <w:tcW w:w="1559" w:type="dxa"/>
          </w:tcPr>
          <w:p w:rsidR="000A35B3" w:rsidRDefault="000A35B3" w:rsidP="00193D14">
            <w:pPr>
              <w:spacing w:after="0"/>
              <w:jc w:val="right"/>
            </w:pPr>
            <w:r>
              <w:t>$46,351,478</w:t>
            </w:r>
          </w:p>
        </w:tc>
        <w:tc>
          <w:tcPr>
            <w:tcW w:w="1701" w:type="dxa"/>
          </w:tcPr>
          <w:p w:rsidR="000A35B3" w:rsidRPr="00C508AC" w:rsidRDefault="000A35B3" w:rsidP="00193D14">
            <w:pPr>
              <w:spacing w:after="0"/>
              <w:jc w:val="right"/>
            </w:pPr>
            <w:r w:rsidRPr="00C508AC">
              <w:t>13,433</w:t>
            </w:r>
          </w:p>
        </w:tc>
        <w:tc>
          <w:tcPr>
            <w:tcW w:w="1843" w:type="dxa"/>
            <w:gridSpan w:val="2"/>
          </w:tcPr>
          <w:p w:rsidR="000A35B3" w:rsidRDefault="000A35B3" w:rsidP="00C508AC">
            <w:pPr>
              <w:spacing w:after="0"/>
              <w:jc w:val="right"/>
            </w:pPr>
            <w:r>
              <w:t>$3,878,238</w:t>
            </w:r>
          </w:p>
        </w:tc>
      </w:tr>
      <w:tr w:rsidR="000A35B3" w:rsidRPr="007F381B" w:rsidTr="007F381B">
        <w:trPr>
          <w:cnfStyle w:val="000000100000" w:firstRow="0" w:lastRow="0" w:firstColumn="0" w:lastColumn="0" w:oddVBand="0" w:evenVBand="0" w:oddHBand="1" w:evenHBand="0" w:firstRowFirstColumn="0" w:firstRowLastColumn="0" w:lastRowFirstColumn="0" w:lastRowLastColumn="0"/>
        </w:trPr>
        <w:tc>
          <w:tcPr>
            <w:tcW w:w="2943" w:type="dxa"/>
          </w:tcPr>
          <w:p w:rsidR="000A35B3" w:rsidRPr="007F381B" w:rsidRDefault="000A35B3" w:rsidP="004C5C6A">
            <w:pPr>
              <w:spacing w:after="0"/>
              <w:rPr>
                <w:b/>
              </w:rPr>
            </w:pPr>
            <w:r w:rsidRPr="007F381B">
              <w:rPr>
                <w:b/>
              </w:rPr>
              <w:t>TOTAL</w:t>
            </w:r>
          </w:p>
        </w:tc>
        <w:tc>
          <w:tcPr>
            <w:tcW w:w="1418" w:type="dxa"/>
          </w:tcPr>
          <w:p w:rsidR="000A35B3" w:rsidRPr="007F381B" w:rsidRDefault="000A35B3" w:rsidP="00193D14">
            <w:pPr>
              <w:spacing w:after="0"/>
              <w:jc w:val="right"/>
              <w:rPr>
                <w:b/>
              </w:rPr>
            </w:pPr>
            <w:r w:rsidRPr="007F381B">
              <w:rPr>
                <w:b/>
              </w:rPr>
              <w:t>1,106,921</w:t>
            </w:r>
          </w:p>
        </w:tc>
        <w:tc>
          <w:tcPr>
            <w:tcW w:w="1559" w:type="dxa"/>
          </w:tcPr>
          <w:p w:rsidR="000A35B3" w:rsidRPr="007F381B" w:rsidRDefault="000A35B3" w:rsidP="00193D14">
            <w:pPr>
              <w:spacing w:after="0"/>
              <w:jc w:val="right"/>
              <w:rPr>
                <w:b/>
              </w:rPr>
            </w:pPr>
            <w:r w:rsidRPr="007F381B">
              <w:rPr>
                <w:b/>
              </w:rPr>
              <w:t>$386,029,168</w:t>
            </w:r>
          </w:p>
        </w:tc>
        <w:tc>
          <w:tcPr>
            <w:tcW w:w="1701" w:type="dxa"/>
          </w:tcPr>
          <w:p w:rsidR="000A35B3" w:rsidRPr="007F381B" w:rsidRDefault="000A35B3" w:rsidP="00193D14">
            <w:pPr>
              <w:spacing w:after="0"/>
              <w:jc w:val="right"/>
              <w:rPr>
                <w:b/>
              </w:rPr>
            </w:pPr>
            <w:r w:rsidRPr="007F381B">
              <w:rPr>
                <w:b/>
              </w:rPr>
              <w:t>63,413</w:t>
            </w:r>
          </w:p>
        </w:tc>
        <w:tc>
          <w:tcPr>
            <w:tcW w:w="1843" w:type="dxa"/>
            <w:gridSpan w:val="2"/>
          </w:tcPr>
          <w:p w:rsidR="000A35B3" w:rsidRPr="007F381B" w:rsidRDefault="000A35B3" w:rsidP="00C508AC">
            <w:pPr>
              <w:spacing w:after="0"/>
              <w:jc w:val="right"/>
              <w:rPr>
                <w:b/>
              </w:rPr>
            </w:pPr>
            <w:r w:rsidRPr="007F381B">
              <w:rPr>
                <w:b/>
              </w:rPr>
              <w:t>$23,040,286</w:t>
            </w:r>
          </w:p>
        </w:tc>
      </w:tr>
    </w:tbl>
    <w:p w:rsidR="004226E3" w:rsidRPr="006672A7" w:rsidRDefault="00232707" w:rsidP="004C5C6A">
      <w:pPr>
        <w:spacing w:after="0"/>
        <w:rPr>
          <w:i/>
          <w:sz w:val="16"/>
          <w:szCs w:val="16"/>
        </w:rPr>
      </w:pPr>
      <w:r w:rsidRPr="006672A7">
        <w:rPr>
          <w:i/>
          <w:sz w:val="16"/>
          <w:szCs w:val="16"/>
        </w:rPr>
        <w:t xml:space="preserve">* </w:t>
      </w:r>
      <w:r w:rsidR="006672A7" w:rsidRPr="006672A7">
        <w:rPr>
          <w:i/>
          <w:sz w:val="16"/>
          <w:szCs w:val="16"/>
        </w:rPr>
        <w:t>Please</w:t>
      </w:r>
      <w:r w:rsidR="006672A7">
        <w:rPr>
          <w:i/>
          <w:sz w:val="16"/>
          <w:szCs w:val="16"/>
        </w:rPr>
        <w:t xml:space="preserve"> note that the volume reported for discards is only from those facilities reporting discards in 2011-2012.</w:t>
      </w:r>
    </w:p>
    <w:p w:rsidR="00232707" w:rsidRDefault="00232707" w:rsidP="004C5C6A">
      <w:pPr>
        <w:spacing w:after="0"/>
      </w:pPr>
    </w:p>
    <w:p w:rsidR="00232707" w:rsidRDefault="00232707" w:rsidP="004C5C6A">
      <w:pPr>
        <w:spacing w:after="0"/>
      </w:pPr>
    </w:p>
    <w:p w:rsidR="004226E3" w:rsidRDefault="00AB0792" w:rsidP="004C5C6A">
      <w:pPr>
        <w:spacing w:after="0"/>
      </w:pPr>
      <w:r>
        <w:t>Due to the limitations of data collections to date, it is not possible to identify the proportion of total discards that could have been reasonably avoided (wastage).</w:t>
      </w:r>
    </w:p>
    <w:p w:rsidR="004226E3" w:rsidRDefault="004226E3" w:rsidP="004C5C6A">
      <w:pPr>
        <w:spacing w:after="0"/>
      </w:pPr>
    </w:p>
    <w:p w:rsidR="004226E3" w:rsidRDefault="004226E3" w:rsidP="004C5C6A">
      <w:pPr>
        <w:spacing w:after="0"/>
      </w:pPr>
    </w:p>
    <w:p w:rsidR="004226E3" w:rsidRDefault="004226E3" w:rsidP="004C5C6A">
      <w:pPr>
        <w:spacing w:after="0"/>
      </w:pPr>
    </w:p>
    <w:p w:rsidR="00D60AE1" w:rsidRDefault="004639A0" w:rsidP="00D60AE1">
      <w:r>
        <w:br/>
      </w:r>
    </w:p>
    <w:p w:rsidR="003335D3" w:rsidRDefault="003335D3" w:rsidP="005C44F8"/>
    <w:p w:rsidR="000B0AB6" w:rsidRDefault="008D0153" w:rsidP="00270DA6">
      <w:pPr>
        <w:pStyle w:val="Heading1"/>
      </w:pPr>
      <w:bookmarkStart w:id="2" w:name="_Toc343260141"/>
      <w:r>
        <w:lastRenderedPageBreak/>
        <w:t>Supply c</w:t>
      </w:r>
      <w:r w:rsidR="00E16CE2">
        <w:t xml:space="preserve">hain </w:t>
      </w:r>
      <w:r>
        <w:t>e</w:t>
      </w:r>
      <w:r w:rsidR="00E16CE2">
        <w:t>fficiencies</w:t>
      </w:r>
      <w:bookmarkEnd w:id="2"/>
    </w:p>
    <w:p w:rsidR="003B27A3" w:rsidRDefault="00E16CE2" w:rsidP="000B0AB6">
      <w:pPr>
        <w:spacing w:after="240" w:line="312" w:lineRule="auto"/>
      </w:pPr>
      <w:r>
        <w:t xml:space="preserve">The National Blood Authority will continue to </w:t>
      </w:r>
      <w:r w:rsidR="00D4074F">
        <w:t xml:space="preserve">work collaboratively with all Australian governments and suppliers to improve the efficiency of the supply chain.  Two </w:t>
      </w:r>
      <w:r w:rsidR="000D329A">
        <w:t xml:space="preserve">recent </w:t>
      </w:r>
      <w:r w:rsidR="00D4074F">
        <w:t>examples of innovation in this area that have reduced unnecessary wastage include:</w:t>
      </w:r>
    </w:p>
    <w:p w:rsidR="00D4074F" w:rsidRDefault="00D4074F" w:rsidP="0049573B">
      <w:pPr>
        <w:pStyle w:val="ListParagraph"/>
        <w:numPr>
          <w:ilvl w:val="0"/>
          <w:numId w:val="2"/>
        </w:numPr>
        <w:spacing w:after="240" w:line="312" w:lineRule="auto"/>
      </w:pPr>
      <w:r>
        <w:t xml:space="preserve">The Blood Component Efficiency project undertaken by the Blood Service which identified the points in their </w:t>
      </w:r>
      <w:r w:rsidR="00FD5D53">
        <w:t xml:space="preserve">supply chain </w:t>
      </w:r>
      <w:r>
        <w:t xml:space="preserve">processes where </w:t>
      </w:r>
      <w:r w:rsidR="00FD5D53">
        <w:t xml:space="preserve">collections </w:t>
      </w:r>
      <w:r>
        <w:t>or products were discarded</w:t>
      </w:r>
      <w:r w:rsidR="00401AC6">
        <w:t>.</w:t>
      </w:r>
      <w:r>
        <w:t xml:space="preserve"> </w:t>
      </w:r>
      <w:r w:rsidR="00401AC6">
        <w:t>M</w:t>
      </w:r>
      <w:r>
        <w:t xml:space="preserve">ethods </w:t>
      </w:r>
      <w:r w:rsidR="0003260B">
        <w:t xml:space="preserve">were implemented </w:t>
      </w:r>
      <w:r>
        <w:t xml:space="preserve">to reduce these occurrences.  As a direct result, the Blood Service achieved an increase in the red </w:t>
      </w:r>
      <w:r w:rsidR="00FD5D53">
        <w:t xml:space="preserve">blood </w:t>
      </w:r>
      <w:r>
        <w:t>cell yield of 7%, which equates to approximately 70,000 donations per annum.</w:t>
      </w:r>
      <w:r>
        <w:br/>
      </w:r>
    </w:p>
    <w:p w:rsidR="00D4074F" w:rsidRPr="00E16CE2" w:rsidRDefault="00B67C49" w:rsidP="0049573B">
      <w:pPr>
        <w:pStyle w:val="ListParagraph"/>
        <w:numPr>
          <w:ilvl w:val="0"/>
          <w:numId w:val="2"/>
        </w:numPr>
        <w:spacing w:after="240" w:line="312" w:lineRule="auto"/>
      </w:pPr>
      <w:r>
        <w:t xml:space="preserve">Recent </w:t>
      </w:r>
      <w:r w:rsidR="00024B44">
        <w:t xml:space="preserve">changes in the </w:t>
      </w:r>
      <w:r>
        <w:t xml:space="preserve">procurement </w:t>
      </w:r>
      <w:r w:rsidR="00024B44">
        <w:t>arrangements for some</w:t>
      </w:r>
      <w:r w:rsidR="000A27C0">
        <w:t xml:space="preserve"> manufactured batch products (such as NovoSeven</w:t>
      </w:r>
      <w:r w:rsidR="00915F19">
        <w:t xml:space="preserve"> RT</w:t>
      </w:r>
      <w:r w:rsidR="000A27C0">
        <w:t xml:space="preserve">) </w:t>
      </w:r>
      <w:r w:rsidR="00024B44">
        <w:t xml:space="preserve">mean they </w:t>
      </w:r>
      <w:r w:rsidR="000A27C0">
        <w:t xml:space="preserve">can be stored at room temperature, largely eliminating the need to discard these products due to failures in cold-chain </w:t>
      </w:r>
      <w:r w:rsidR="00915F19">
        <w:t>equipment</w:t>
      </w:r>
      <w:r w:rsidR="000A27C0">
        <w:t xml:space="preserve"> in the distribution and health provider spheres.</w:t>
      </w:r>
    </w:p>
    <w:p w:rsidR="003B27A3" w:rsidRDefault="00CE3DE6" w:rsidP="00CE3DE6">
      <w:pPr>
        <w:pStyle w:val="Heading2"/>
      </w:pPr>
      <w:bookmarkStart w:id="3" w:name="_Toc343001223"/>
      <w:bookmarkStart w:id="4" w:name="_Toc343260142"/>
      <w:r>
        <w:t>Key Activities</w:t>
      </w:r>
      <w:bookmarkEnd w:id="3"/>
      <w:bookmarkEnd w:id="4"/>
    </w:p>
    <w:p w:rsidR="00CE3DE6" w:rsidRDefault="00CE3DE6" w:rsidP="00CE3DE6">
      <w:pPr>
        <w:pStyle w:val="Heading3"/>
      </w:pPr>
      <w:bookmarkStart w:id="5" w:name="_Toc343001224"/>
      <w:bookmarkStart w:id="6" w:name="_Toc343260143"/>
      <w:r>
        <w:t>Reduc</w:t>
      </w:r>
      <w:r w:rsidR="00070B0E">
        <w:t>e</w:t>
      </w:r>
      <w:r>
        <w:t xml:space="preserve"> </w:t>
      </w:r>
      <w:r w:rsidR="00E14416">
        <w:t>RED BLOOD CELL</w:t>
      </w:r>
      <w:r>
        <w:t xml:space="preserve"> Inventory Levels</w:t>
      </w:r>
      <w:bookmarkEnd w:id="5"/>
      <w:bookmarkEnd w:id="6"/>
    </w:p>
    <w:p w:rsidR="00CE3DE6" w:rsidRDefault="003566E8" w:rsidP="000B0AB6">
      <w:pPr>
        <w:spacing w:after="240" w:line="312" w:lineRule="auto"/>
      </w:pPr>
      <w:r>
        <w:t xml:space="preserve">Work with the Blood Service and Australian governments to implement a one-off reduction of national </w:t>
      </w:r>
      <w:r w:rsidR="00E14416">
        <w:t xml:space="preserve">red blood cell </w:t>
      </w:r>
      <w:r>
        <w:t xml:space="preserve">inventory </w:t>
      </w:r>
      <w:r w:rsidR="00AB0792">
        <w:t xml:space="preserve">held by the Blood Service nationally </w:t>
      </w:r>
      <w:r w:rsidR="00E14416">
        <w:t>by</w:t>
      </w:r>
      <w:r>
        <w:t xml:space="preserve"> two days,</w:t>
      </w:r>
      <w:r w:rsidR="0003260B">
        <w:t xml:space="preserve"> thus</w:t>
      </w:r>
      <w:r>
        <w:t xml:space="preserve"> reducing wastage </w:t>
      </w:r>
      <w:r w:rsidR="00E14416">
        <w:t>in the system</w:t>
      </w:r>
      <w:r>
        <w:t xml:space="preserve"> and increasing the proportion of fresher blood in the </w:t>
      </w:r>
      <w:r w:rsidR="00915F19">
        <w:t xml:space="preserve">national </w:t>
      </w:r>
      <w:r>
        <w:t>inventory.</w:t>
      </w:r>
    </w:p>
    <w:p w:rsidR="00CE3DE6" w:rsidRDefault="00CE3DE6" w:rsidP="00CE3DE6">
      <w:pPr>
        <w:pStyle w:val="Heading3"/>
      </w:pPr>
      <w:bookmarkStart w:id="7" w:name="_Toc343001225"/>
      <w:bookmarkStart w:id="8" w:name="_Toc343260144"/>
      <w:r>
        <w:t xml:space="preserve">Increase Red </w:t>
      </w:r>
      <w:r w:rsidR="00E14416">
        <w:t xml:space="preserve">BLOOD </w:t>
      </w:r>
      <w:r>
        <w:t>Cell Yield</w:t>
      </w:r>
      <w:bookmarkEnd w:id="7"/>
      <w:bookmarkEnd w:id="8"/>
    </w:p>
    <w:p w:rsidR="00CE3DE6" w:rsidRDefault="00CE3DE6" w:rsidP="000B0AB6">
      <w:pPr>
        <w:spacing w:after="240" w:line="312" w:lineRule="auto"/>
      </w:pPr>
      <w:r>
        <w:t xml:space="preserve">Include a requirement in the 2013-14 </w:t>
      </w:r>
      <w:proofErr w:type="gramStart"/>
      <w:r>
        <w:t>to 2015-16 Statement of Expectations</w:t>
      </w:r>
      <w:proofErr w:type="gramEnd"/>
      <w:r>
        <w:t xml:space="preserve"> from the Standing Council on Health to the Blood Service to maintain or improve red </w:t>
      </w:r>
      <w:r w:rsidR="00E14416">
        <w:t xml:space="preserve">blood </w:t>
      </w:r>
      <w:r>
        <w:t>cell yield from the current level of 86%.</w:t>
      </w:r>
    </w:p>
    <w:tbl>
      <w:tblPr>
        <w:tblStyle w:val="NBATableStyle2"/>
        <w:tblW w:w="4808" w:type="pct"/>
        <w:tblInd w:w="108" w:type="dxa"/>
        <w:tblLayout w:type="fixed"/>
        <w:tblLook w:val="04A0" w:firstRow="1" w:lastRow="0" w:firstColumn="1" w:lastColumn="0" w:noHBand="0" w:noVBand="1"/>
        <w:tblDescription w:val="Key activities 2013-2017 for wastage"/>
      </w:tblPr>
      <w:tblGrid>
        <w:gridCol w:w="4961"/>
        <w:gridCol w:w="822"/>
        <w:gridCol w:w="822"/>
        <w:gridCol w:w="824"/>
        <w:gridCol w:w="822"/>
        <w:gridCol w:w="822"/>
      </w:tblGrid>
      <w:tr w:rsidR="00CE3DE6" w:rsidTr="00C12F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34" w:type="pct"/>
          </w:tcPr>
          <w:p w:rsidR="00CE3DE6" w:rsidRDefault="003566E8" w:rsidP="00A05F25">
            <w:r>
              <w:t xml:space="preserve">Key </w:t>
            </w:r>
            <w:r w:rsidR="00CE3DE6">
              <w:t>Activities</w:t>
            </w:r>
          </w:p>
        </w:tc>
        <w:tc>
          <w:tcPr>
            <w:tcW w:w="453" w:type="pct"/>
          </w:tcPr>
          <w:p w:rsidR="00CE3DE6" w:rsidRDefault="00CE3DE6" w:rsidP="00A05F25">
            <w:pPr>
              <w:cnfStyle w:val="100000000000" w:firstRow="1" w:lastRow="0" w:firstColumn="0" w:lastColumn="0" w:oddVBand="0" w:evenVBand="0" w:oddHBand="0" w:evenHBand="0" w:firstRowFirstColumn="0" w:firstRowLastColumn="0" w:lastRowFirstColumn="0" w:lastRowLastColumn="0"/>
            </w:pPr>
            <w:r>
              <w:t>2013</w:t>
            </w:r>
          </w:p>
        </w:tc>
        <w:tc>
          <w:tcPr>
            <w:tcW w:w="453" w:type="pct"/>
          </w:tcPr>
          <w:p w:rsidR="00CE3DE6" w:rsidRDefault="00CE3DE6" w:rsidP="00A05F25">
            <w:pPr>
              <w:cnfStyle w:val="100000000000" w:firstRow="1" w:lastRow="0" w:firstColumn="0" w:lastColumn="0" w:oddVBand="0" w:evenVBand="0" w:oddHBand="0" w:evenHBand="0" w:firstRowFirstColumn="0" w:firstRowLastColumn="0" w:lastRowFirstColumn="0" w:lastRowLastColumn="0"/>
            </w:pPr>
            <w:r>
              <w:t>2014</w:t>
            </w:r>
          </w:p>
        </w:tc>
        <w:tc>
          <w:tcPr>
            <w:tcW w:w="454" w:type="pct"/>
          </w:tcPr>
          <w:p w:rsidR="00CE3DE6" w:rsidRDefault="00CE3DE6" w:rsidP="00A05F25">
            <w:pPr>
              <w:cnfStyle w:val="100000000000" w:firstRow="1" w:lastRow="0" w:firstColumn="0" w:lastColumn="0" w:oddVBand="0" w:evenVBand="0" w:oddHBand="0" w:evenHBand="0" w:firstRowFirstColumn="0" w:firstRowLastColumn="0" w:lastRowFirstColumn="0" w:lastRowLastColumn="0"/>
            </w:pPr>
            <w:r>
              <w:t>2015</w:t>
            </w:r>
          </w:p>
        </w:tc>
        <w:tc>
          <w:tcPr>
            <w:tcW w:w="453" w:type="pct"/>
          </w:tcPr>
          <w:p w:rsidR="00CE3DE6" w:rsidRDefault="00CE3DE6" w:rsidP="00A05F25">
            <w:pPr>
              <w:cnfStyle w:val="100000000000" w:firstRow="1" w:lastRow="0" w:firstColumn="0" w:lastColumn="0" w:oddVBand="0" w:evenVBand="0" w:oddHBand="0" w:evenHBand="0" w:firstRowFirstColumn="0" w:firstRowLastColumn="0" w:lastRowFirstColumn="0" w:lastRowLastColumn="0"/>
            </w:pPr>
            <w:r>
              <w:t>2016</w:t>
            </w:r>
          </w:p>
        </w:tc>
        <w:tc>
          <w:tcPr>
            <w:tcW w:w="453" w:type="pct"/>
          </w:tcPr>
          <w:p w:rsidR="00CE3DE6" w:rsidRDefault="00CE3DE6" w:rsidP="00A05F25">
            <w:pPr>
              <w:cnfStyle w:val="100000000000" w:firstRow="1" w:lastRow="0" w:firstColumn="0" w:lastColumn="0" w:oddVBand="0" w:evenVBand="0" w:oddHBand="0" w:evenHBand="0" w:firstRowFirstColumn="0" w:firstRowLastColumn="0" w:lastRowFirstColumn="0" w:lastRowLastColumn="0"/>
            </w:pPr>
            <w:r>
              <w:t>2017</w:t>
            </w:r>
          </w:p>
        </w:tc>
      </w:tr>
      <w:tr w:rsidR="00CE3DE6" w:rsidTr="00215EE1">
        <w:tc>
          <w:tcPr>
            <w:cnfStyle w:val="001000000000" w:firstRow="0" w:lastRow="0" w:firstColumn="1" w:lastColumn="0" w:oddVBand="0" w:evenVBand="0" w:oddHBand="0" w:evenHBand="0" w:firstRowFirstColumn="0" w:firstRowLastColumn="0" w:lastRowFirstColumn="0" w:lastRowLastColumn="0"/>
            <w:tcW w:w="2734" w:type="pct"/>
          </w:tcPr>
          <w:p w:rsidR="00CE3DE6" w:rsidRDefault="003566E8" w:rsidP="00E14416">
            <w:r>
              <w:t xml:space="preserve">Reduction of </w:t>
            </w:r>
            <w:r w:rsidR="00E14416">
              <w:t>national red blood cell</w:t>
            </w:r>
            <w:r>
              <w:t xml:space="preserve"> inventory levels</w:t>
            </w:r>
          </w:p>
        </w:tc>
        <w:tc>
          <w:tcPr>
            <w:tcW w:w="453" w:type="pct"/>
            <w:shd w:val="clear" w:color="auto" w:fill="92CDDC"/>
          </w:tcPr>
          <w:p w:rsidR="00CE3DE6" w:rsidRDefault="00CE3DE6" w:rsidP="00A05F25">
            <w:pPr>
              <w:cnfStyle w:val="000000000000" w:firstRow="0" w:lastRow="0" w:firstColumn="0" w:lastColumn="0" w:oddVBand="0" w:evenVBand="0" w:oddHBand="0" w:evenHBand="0" w:firstRowFirstColumn="0" w:firstRowLastColumn="0" w:lastRowFirstColumn="0" w:lastRowLastColumn="0"/>
            </w:pPr>
          </w:p>
        </w:tc>
        <w:tc>
          <w:tcPr>
            <w:tcW w:w="453" w:type="pct"/>
            <w:shd w:val="clear" w:color="auto" w:fill="92CDDC"/>
          </w:tcPr>
          <w:p w:rsidR="00CE3DE6" w:rsidRDefault="00CE3DE6" w:rsidP="00A05F25">
            <w:pPr>
              <w:cnfStyle w:val="000000000000" w:firstRow="0" w:lastRow="0" w:firstColumn="0" w:lastColumn="0" w:oddVBand="0" w:evenVBand="0" w:oddHBand="0" w:evenHBand="0" w:firstRowFirstColumn="0" w:firstRowLastColumn="0" w:lastRowFirstColumn="0" w:lastRowLastColumn="0"/>
            </w:pPr>
          </w:p>
        </w:tc>
        <w:tc>
          <w:tcPr>
            <w:tcW w:w="454" w:type="pct"/>
          </w:tcPr>
          <w:p w:rsidR="00CE3DE6" w:rsidRDefault="00CE3DE6" w:rsidP="00A05F25">
            <w:pPr>
              <w:cnfStyle w:val="000000000000" w:firstRow="0" w:lastRow="0" w:firstColumn="0" w:lastColumn="0" w:oddVBand="0" w:evenVBand="0" w:oddHBand="0" w:evenHBand="0" w:firstRowFirstColumn="0" w:firstRowLastColumn="0" w:lastRowFirstColumn="0" w:lastRowLastColumn="0"/>
            </w:pPr>
          </w:p>
        </w:tc>
        <w:tc>
          <w:tcPr>
            <w:tcW w:w="453" w:type="pct"/>
          </w:tcPr>
          <w:p w:rsidR="00CE3DE6" w:rsidRDefault="00CE3DE6" w:rsidP="00A05F25">
            <w:pPr>
              <w:cnfStyle w:val="000000000000" w:firstRow="0" w:lastRow="0" w:firstColumn="0" w:lastColumn="0" w:oddVBand="0" w:evenVBand="0" w:oddHBand="0" w:evenHBand="0" w:firstRowFirstColumn="0" w:firstRowLastColumn="0" w:lastRowFirstColumn="0" w:lastRowLastColumn="0"/>
            </w:pPr>
          </w:p>
        </w:tc>
        <w:tc>
          <w:tcPr>
            <w:tcW w:w="453" w:type="pct"/>
          </w:tcPr>
          <w:p w:rsidR="00CE3DE6" w:rsidRDefault="00CE3DE6" w:rsidP="00A05F25">
            <w:pPr>
              <w:cnfStyle w:val="000000000000" w:firstRow="0" w:lastRow="0" w:firstColumn="0" w:lastColumn="0" w:oddVBand="0" w:evenVBand="0" w:oddHBand="0" w:evenHBand="0" w:firstRowFirstColumn="0" w:firstRowLastColumn="0" w:lastRowFirstColumn="0" w:lastRowLastColumn="0"/>
            </w:pPr>
          </w:p>
        </w:tc>
      </w:tr>
      <w:tr w:rsidR="003566E8" w:rsidTr="003566E8">
        <w:tc>
          <w:tcPr>
            <w:cnfStyle w:val="001000000000" w:firstRow="0" w:lastRow="0" w:firstColumn="1" w:lastColumn="0" w:oddVBand="0" w:evenVBand="0" w:oddHBand="0" w:evenHBand="0" w:firstRowFirstColumn="0" w:firstRowLastColumn="0" w:lastRowFirstColumn="0" w:lastRowLastColumn="0"/>
            <w:tcW w:w="2734" w:type="pct"/>
          </w:tcPr>
          <w:p w:rsidR="003566E8" w:rsidRDefault="003566E8" w:rsidP="003566E8">
            <w:r>
              <w:t xml:space="preserve">Increase red </w:t>
            </w:r>
            <w:r w:rsidR="00E14416">
              <w:t xml:space="preserve">blood </w:t>
            </w:r>
            <w:r>
              <w:t>cell yield</w:t>
            </w:r>
          </w:p>
        </w:tc>
        <w:tc>
          <w:tcPr>
            <w:tcW w:w="453" w:type="pct"/>
            <w:shd w:val="clear" w:color="auto" w:fill="92CDDC"/>
          </w:tcPr>
          <w:p w:rsidR="003566E8" w:rsidRDefault="003566E8" w:rsidP="00A05F25">
            <w:pPr>
              <w:cnfStyle w:val="000000000000" w:firstRow="0" w:lastRow="0" w:firstColumn="0" w:lastColumn="0" w:oddVBand="0" w:evenVBand="0" w:oddHBand="0" w:evenHBand="0" w:firstRowFirstColumn="0" w:firstRowLastColumn="0" w:lastRowFirstColumn="0" w:lastRowLastColumn="0"/>
            </w:pPr>
          </w:p>
        </w:tc>
        <w:tc>
          <w:tcPr>
            <w:tcW w:w="453" w:type="pct"/>
            <w:shd w:val="clear" w:color="auto" w:fill="92CDDC"/>
          </w:tcPr>
          <w:p w:rsidR="003566E8" w:rsidRDefault="003566E8" w:rsidP="00A05F25">
            <w:pPr>
              <w:cnfStyle w:val="000000000000" w:firstRow="0" w:lastRow="0" w:firstColumn="0" w:lastColumn="0" w:oddVBand="0" w:evenVBand="0" w:oddHBand="0" w:evenHBand="0" w:firstRowFirstColumn="0" w:firstRowLastColumn="0" w:lastRowFirstColumn="0" w:lastRowLastColumn="0"/>
            </w:pPr>
          </w:p>
        </w:tc>
        <w:tc>
          <w:tcPr>
            <w:tcW w:w="454" w:type="pct"/>
            <w:shd w:val="clear" w:color="auto" w:fill="92CDDC" w:themeFill="accent5" w:themeFillTint="99"/>
          </w:tcPr>
          <w:p w:rsidR="003566E8" w:rsidRDefault="003566E8" w:rsidP="00A05F25">
            <w:pPr>
              <w:cnfStyle w:val="000000000000" w:firstRow="0" w:lastRow="0" w:firstColumn="0" w:lastColumn="0" w:oddVBand="0" w:evenVBand="0" w:oddHBand="0" w:evenHBand="0" w:firstRowFirstColumn="0" w:firstRowLastColumn="0" w:lastRowFirstColumn="0" w:lastRowLastColumn="0"/>
            </w:pPr>
          </w:p>
        </w:tc>
        <w:tc>
          <w:tcPr>
            <w:tcW w:w="453" w:type="pct"/>
            <w:shd w:val="clear" w:color="auto" w:fill="92CDDC" w:themeFill="accent5" w:themeFillTint="99"/>
          </w:tcPr>
          <w:p w:rsidR="003566E8" w:rsidRDefault="003566E8" w:rsidP="00A05F25">
            <w:pPr>
              <w:cnfStyle w:val="000000000000" w:firstRow="0" w:lastRow="0" w:firstColumn="0" w:lastColumn="0" w:oddVBand="0" w:evenVBand="0" w:oddHBand="0" w:evenHBand="0" w:firstRowFirstColumn="0" w:firstRowLastColumn="0" w:lastRowFirstColumn="0" w:lastRowLastColumn="0"/>
            </w:pPr>
          </w:p>
        </w:tc>
        <w:tc>
          <w:tcPr>
            <w:tcW w:w="453" w:type="pct"/>
          </w:tcPr>
          <w:p w:rsidR="003566E8" w:rsidRDefault="003566E8" w:rsidP="00A05F25">
            <w:pPr>
              <w:cnfStyle w:val="000000000000" w:firstRow="0" w:lastRow="0" w:firstColumn="0" w:lastColumn="0" w:oddVBand="0" w:evenVBand="0" w:oddHBand="0" w:evenHBand="0" w:firstRowFirstColumn="0" w:firstRowLastColumn="0" w:lastRowFirstColumn="0" w:lastRowLastColumn="0"/>
            </w:pPr>
          </w:p>
        </w:tc>
      </w:tr>
    </w:tbl>
    <w:p w:rsidR="00CE3DE6" w:rsidRDefault="00CE3DE6" w:rsidP="00AA39A4">
      <w:pPr>
        <w:spacing w:before="120" w:after="120"/>
        <w:rPr>
          <w:rFonts w:cs="Arial"/>
        </w:rPr>
      </w:pPr>
    </w:p>
    <w:p w:rsidR="008D0153" w:rsidRDefault="008D0153">
      <w:pPr>
        <w:spacing w:after="0"/>
        <w:rPr>
          <w:rFonts w:cs="Arial"/>
        </w:rPr>
      </w:pPr>
      <w:r>
        <w:rPr>
          <w:rFonts w:cs="Arial"/>
        </w:rPr>
        <w:br w:type="page"/>
      </w:r>
    </w:p>
    <w:p w:rsidR="008D0153" w:rsidRDefault="008D0153" w:rsidP="00270DA6">
      <w:pPr>
        <w:pStyle w:val="Heading1"/>
      </w:pPr>
      <w:bookmarkStart w:id="9" w:name="_Toc343260145"/>
      <w:r>
        <w:lastRenderedPageBreak/>
        <w:t>Improving health provider inventory management</w:t>
      </w:r>
      <w:bookmarkEnd w:id="9"/>
    </w:p>
    <w:p w:rsidR="007C3605" w:rsidRDefault="00915F19" w:rsidP="00C1279D">
      <w:pPr>
        <w:spacing w:after="240" w:line="312" w:lineRule="auto"/>
      </w:pPr>
      <w:r>
        <w:t xml:space="preserve">Reducing unnecessary wastage of blood and blood products by health providers will be </w:t>
      </w:r>
      <w:r w:rsidR="007C3605">
        <w:t>achieved through a multi-faceted approach, including:</w:t>
      </w:r>
    </w:p>
    <w:p w:rsidR="007C3605" w:rsidRDefault="000D329A" w:rsidP="0049573B">
      <w:pPr>
        <w:pStyle w:val="ListParagraph"/>
        <w:numPr>
          <w:ilvl w:val="0"/>
          <w:numId w:val="3"/>
        </w:numPr>
        <w:spacing w:after="240" w:line="312" w:lineRule="auto"/>
      </w:pPr>
      <w:r>
        <w:t>improving t</w:t>
      </w:r>
      <w:r w:rsidR="007C3605">
        <w:t>he collection, analysis and distribution of data relating to blood and blood product discards</w:t>
      </w:r>
      <w:r w:rsidR="00D44F9B">
        <w:t xml:space="preserve"> to </w:t>
      </w:r>
      <w:r w:rsidR="00AB0792">
        <w:t>h</w:t>
      </w:r>
      <w:r w:rsidR="00D44F9B">
        <w:t xml:space="preserve">ealth </w:t>
      </w:r>
      <w:r w:rsidR="00AB0792">
        <w:t>p</w:t>
      </w:r>
      <w:r w:rsidR="00D44F9B">
        <w:t>roviders</w:t>
      </w:r>
      <w:r w:rsidR="00AB0792">
        <w:t xml:space="preserve"> and Australian Governments</w:t>
      </w:r>
      <w:r w:rsidR="007C3605">
        <w:t>;</w:t>
      </w:r>
    </w:p>
    <w:p w:rsidR="00872A61" w:rsidRDefault="00004C7D" w:rsidP="0049573B">
      <w:pPr>
        <w:pStyle w:val="ListParagraph"/>
        <w:numPr>
          <w:ilvl w:val="0"/>
          <w:numId w:val="3"/>
        </w:numPr>
        <w:spacing w:after="240" w:line="312" w:lineRule="auto"/>
      </w:pPr>
      <w:r>
        <w:t>undertaking analysis of key contributory factors to wastage and developing proposals to address these issues, noting that the factors may be different across health providers and product types;</w:t>
      </w:r>
    </w:p>
    <w:p w:rsidR="007C3605" w:rsidRDefault="000D329A" w:rsidP="0049573B">
      <w:pPr>
        <w:pStyle w:val="ListParagraph"/>
        <w:numPr>
          <w:ilvl w:val="0"/>
          <w:numId w:val="3"/>
        </w:numPr>
        <w:spacing w:after="240" w:line="312" w:lineRule="auto"/>
      </w:pPr>
      <w:r>
        <w:t xml:space="preserve">developing and implementing </w:t>
      </w:r>
      <w:r w:rsidR="00E14416">
        <w:t xml:space="preserve">targets </w:t>
      </w:r>
      <w:r w:rsidR="007C3605">
        <w:t xml:space="preserve">for blood and blood product wastage; </w:t>
      </w:r>
    </w:p>
    <w:p w:rsidR="007C3605" w:rsidRDefault="000D329A" w:rsidP="0049573B">
      <w:pPr>
        <w:pStyle w:val="ListParagraph"/>
        <w:numPr>
          <w:ilvl w:val="0"/>
          <w:numId w:val="3"/>
        </w:numPr>
        <w:spacing w:after="240" w:line="312" w:lineRule="auto"/>
      </w:pPr>
      <w:r>
        <w:t>d</w:t>
      </w:r>
      <w:r w:rsidR="007C3605">
        <w:t>evelop</w:t>
      </w:r>
      <w:r>
        <w:t>ing</w:t>
      </w:r>
      <w:r w:rsidR="007C3605">
        <w:t xml:space="preserve"> and </w:t>
      </w:r>
      <w:r>
        <w:t xml:space="preserve">promoting </w:t>
      </w:r>
      <w:r w:rsidR="00B4403F">
        <w:t>better practice inventory management, including better</w:t>
      </w:r>
      <w:r w:rsidR="007C3605">
        <w:t xml:space="preserve"> </w:t>
      </w:r>
      <w:r w:rsidR="00B4403F">
        <w:t>p</w:t>
      </w:r>
      <w:r w:rsidR="007C3605">
        <w:t xml:space="preserve">ractice </w:t>
      </w:r>
      <w:r w:rsidR="00B4403F">
        <w:t>t</w:t>
      </w:r>
      <w:r w:rsidR="007C3605">
        <w:t>ools, building on existing practices in a range of health providers;</w:t>
      </w:r>
    </w:p>
    <w:p w:rsidR="007C3605" w:rsidRDefault="000D329A" w:rsidP="0049573B">
      <w:pPr>
        <w:pStyle w:val="ListParagraph"/>
        <w:numPr>
          <w:ilvl w:val="0"/>
          <w:numId w:val="3"/>
        </w:numPr>
        <w:spacing w:after="240" w:line="312" w:lineRule="auto"/>
      </w:pPr>
      <w:r>
        <w:t>d</w:t>
      </w:r>
      <w:r w:rsidR="007C3605">
        <w:t>evelop</w:t>
      </w:r>
      <w:r>
        <w:t>ing</w:t>
      </w:r>
      <w:r w:rsidR="007C3605">
        <w:t xml:space="preserve"> an education and training framework to embed better inventory management principles and practices into core competencies for relevant health provider staff;</w:t>
      </w:r>
    </w:p>
    <w:p w:rsidR="00B921AB" w:rsidRDefault="000D329A" w:rsidP="0049573B">
      <w:pPr>
        <w:pStyle w:val="ListParagraph"/>
        <w:numPr>
          <w:ilvl w:val="0"/>
          <w:numId w:val="3"/>
        </w:numPr>
        <w:spacing w:after="240" w:line="312" w:lineRule="auto"/>
      </w:pPr>
      <w:r>
        <w:t>e</w:t>
      </w:r>
      <w:r w:rsidR="006841B2">
        <w:t>nhanc</w:t>
      </w:r>
      <w:r>
        <w:t>ing</w:t>
      </w:r>
      <w:r w:rsidR="006841B2">
        <w:t xml:space="preserve"> </w:t>
      </w:r>
      <w:r w:rsidR="0072465F">
        <w:t>awareness</w:t>
      </w:r>
      <w:r w:rsidR="006841B2">
        <w:t xml:space="preserve"> of unit prices; </w:t>
      </w:r>
    </w:p>
    <w:p w:rsidR="006C5EBF" w:rsidRDefault="000D329A" w:rsidP="0049573B">
      <w:pPr>
        <w:pStyle w:val="ListParagraph"/>
        <w:numPr>
          <w:ilvl w:val="0"/>
          <w:numId w:val="3"/>
        </w:numPr>
        <w:spacing w:after="240" w:line="312" w:lineRule="auto"/>
      </w:pPr>
      <w:r>
        <w:t xml:space="preserve">establishing </w:t>
      </w:r>
      <w:r w:rsidR="006C5EBF">
        <w:t xml:space="preserve">a range of mechanisms to enhance collaboration across the sector; </w:t>
      </w:r>
    </w:p>
    <w:p w:rsidR="007C3605" w:rsidRDefault="00AB0792" w:rsidP="00004C7D">
      <w:pPr>
        <w:pStyle w:val="ListParagraph"/>
        <w:numPr>
          <w:ilvl w:val="0"/>
          <w:numId w:val="3"/>
        </w:numPr>
        <w:spacing w:after="240" w:line="312" w:lineRule="auto"/>
      </w:pPr>
      <w:r>
        <w:t>supporting the use of evidence based practices in the establishment of product movement and stor</w:t>
      </w:r>
      <w:r w:rsidR="00004C7D">
        <w:t xml:space="preserve">age policies; </w:t>
      </w:r>
      <w:r w:rsidR="006C5EBF">
        <w:t>and</w:t>
      </w:r>
    </w:p>
    <w:p w:rsidR="006C5EBF" w:rsidRDefault="004D3A22" w:rsidP="0049573B">
      <w:pPr>
        <w:pStyle w:val="ListParagraph"/>
        <w:numPr>
          <w:ilvl w:val="0"/>
          <w:numId w:val="3"/>
        </w:numPr>
        <w:spacing w:after="240" w:line="312" w:lineRule="auto"/>
      </w:pPr>
      <w:proofErr w:type="gramStart"/>
      <w:r>
        <w:t>c</w:t>
      </w:r>
      <w:r w:rsidR="006C5EBF">
        <w:t>onduct</w:t>
      </w:r>
      <w:r>
        <w:t>ing</w:t>
      </w:r>
      <w:proofErr w:type="gramEnd"/>
      <w:r w:rsidR="006C5EBF">
        <w:t xml:space="preserve"> </w:t>
      </w:r>
      <w:r w:rsidR="00052B1E">
        <w:t xml:space="preserve">targeted </w:t>
      </w:r>
      <w:r w:rsidR="006C5EBF">
        <w:t>promotional campaigns.</w:t>
      </w:r>
    </w:p>
    <w:p w:rsidR="006C5EBF" w:rsidRDefault="006C5EBF" w:rsidP="006C5EBF">
      <w:pPr>
        <w:spacing w:after="240" w:line="312" w:lineRule="auto"/>
      </w:pPr>
      <w:r>
        <w:t>T</w:t>
      </w:r>
      <w:r w:rsidR="00E07A3C">
        <w:t xml:space="preserve">he National Blood Authority’s role in assisting </w:t>
      </w:r>
      <w:r w:rsidR="00052B1E">
        <w:t xml:space="preserve">jurisdictions and </w:t>
      </w:r>
      <w:r w:rsidR="00E07A3C">
        <w:t>health providers to address unnecessary wastage will be one of coordination and enablement. The National Blood Authority’s approach will be to develop a range of data, tools and collaboration mechanisms to enable health providers to examine their own practice and choose from the suite of tools for local customisation</w:t>
      </w:r>
      <w:r w:rsidR="001C73F3">
        <w:t>, branding</w:t>
      </w:r>
      <w:r w:rsidR="00E07A3C">
        <w:t xml:space="preserve"> and adoption where appropriate. </w:t>
      </w:r>
    </w:p>
    <w:p w:rsidR="00E07A3C" w:rsidRDefault="00E07A3C" w:rsidP="006C5EBF">
      <w:pPr>
        <w:spacing w:after="240" w:line="312" w:lineRule="auto"/>
      </w:pPr>
      <w:r>
        <w:t xml:space="preserve">Recognising the existing strong relationships between public health providers and the State and Territory governments, State and Territory governments will take the lead in coordination and communication with public health providers with the National Blood Authority acting in a supporting capacity. The National Blood Authority will assume a greater role with public health providers in specific instances where requested by the relevant State or Territory government. </w:t>
      </w:r>
    </w:p>
    <w:p w:rsidR="00E07A3C" w:rsidRDefault="00557A9C" w:rsidP="006C5EBF">
      <w:pPr>
        <w:spacing w:after="240" w:line="312" w:lineRule="auto"/>
      </w:pPr>
      <w:r>
        <w:t>Governments recognise the different relationships and largely national approach of the majority of private health providers</w:t>
      </w:r>
      <w:r w:rsidR="004D3A22">
        <w:t>. T</w:t>
      </w:r>
      <w:r>
        <w:t xml:space="preserve">he National Blood Authority will take the lead in coordination and communication with private health providers at a national and local level. </w:t>
      </w:r>
    </w:p>
    <w:p w:rsidR="0037416A" w:rsidRDefault="0037416A" w:rsidP="0037416A">
      <w:pPr>
        <w:pStyle w:val="Heading2"/>
      </w:pPr>
      <w:bookmarkStart w:id="10" w:name="_Toc343260146"/>
      <w:r>
        <w:lastRenderedPageBreak/>
        <w:t>Key Activities</w:t>
      </w:r>
      <w:bookmarkEnd w:id="10"/>
    </w:p>
    <w:p w:rsidR="008D0153" w:rsidRPr="0037416A" w:rsidRDefault="006C3A67" w:rsidP="00024B44">
      <w:pPr>
        <w:pStyle w:val="Heading3"/>
        <w:spacing w:before="120" w:after="120"/>
      </w:pPr>
      <w:r>
        <w:t>COLLECTION, ANALYSIS AND DISTRIBUTION OF DATA</w:t>
      </w:r>
    </w:p>
    <w:p w:rsidR="006C3A67" w:rsidRDefault="006C3A67" w:rsidP="00024B44">
      <w:pPr>
        <w:spacing w:before="120" w:after="120" w:line="312" w:lineRule="auto"/>
      </w:pPr>
      <w:r>
        <w:t>Expanding the current voluntary collection of discard data to cover all blood and blood product discards by all health providers</w:t>
      </w:r>
      <w:r w:rsidR="004D3A22">
        <w:t>. This will be achieved</w:t>
      </w:r>
      <w:r>
        <w:t xml:space="preserve"> through completing the national implementation of the BloodNet Fate module. This will provide a complete data set to analyse </w:t>
      </w:r>
      <w:r w:rsidR="00052B1E">
        <w:t>and</w:t>
      </w:r>
      <w:r>
        <w:t xml:space="preserve"> identify trends </w:t>
      </w:r>
      <w:r w:rsidR="00024B44">
        <w:t xml:space="preserve">and the </w:t>
      </w:r>
      <w:r>
        <w:t>causes of discards</w:t>
      </w:r>
      <w:r w:rsidR="00024B44">
        <w:t>. In addition, it will</w:t>
      </w:r>
      <w:r>
        <w:t xml:space="preserve"> inform the development of </w:t>
      </w:r>
      <w:r w:rsidR="0073495C">
        <w:t>targets</w:t>
      </w:r>
      <w:r>
        <w:t xml:space="preserve"> for discards of blood and blood products by health providers.</w:t>
      </w:r>
      <w:r w:rsidR="00F76BD7">
        <w:t xml:space="preserve"> Analysis of data relating to discards of </w:t>
      </w:r>
      <w:r w:rsidR="004D5979">
        <w:t>non-fresh blood</w:t>
      </w:r>
      <w:r w:rsidR="00F76BD7">
        <w:t xml:space="preserve"> products will occur in 201</w:t>
      </w:r>
      <w:r w:rsidR="004D5979">
        <w:t>5</w:t>
      </w:r>
      <w:r w:rsidR="00F76BD7">
        <w:t xml:space="preserve"> following the collection of data relating to these products commencing in 2013.</w:t>
      </w:r>
    </w:p>
    <w:p w:rsidR="006C3A67" w:rsidRDefault="006C3A67" w:rsidP="00583875">
      <w:pPr>
        <w:spacing w:after="240" w:line="312" w:lineRule="auto"/>
      </w:pPr>
      <w:r>
        <w:t xml:space="preserve">Reporting from BloodNet will be enhanced to provide a suite of reports relating to </w:t>
      </w:r>
      <w:r w:rsidR="00CC0D44">
        <w:t xml:space="preserve">inventory levels, </w:t>
      </w:r>
      <w:r>
        <w:t>unit discards</w:t>
      </w:r>
      <w:r w:rsidR="00A51CB3">
        <w:t xml:space="preserve"> and associated costs,</w:t>
      </w:r>
      <w:r>
        <w:t xml:space="preserve"> at the levels of health provider</w:t>
      </w:r>
      <w:r w:rsidR="0003260B">
        <w:t xml:space="preserve"> and</w:t>
      </w:r>
      <w:r>
        <w:t xml:space="preserve"> organisational unit (e</w:t>
      </w:r>
      <w:r w:rsidR="00B70917">
        <w:t>.</w:t>
      </w:r>
      <w:r>
        <w:t>g</w:t>
      </w:r>
      <w:r w:rsidR="00B70917">
        <w:t>.</w:t>
      </w:r>
      <w:r>
        <w:t xml:space="preserve"> a Local Health District or Pathology Service)</w:t>
      </w:r>
      <w:r w:rsidR="00687114">
        <w:t xml:space="preserve">. </w:t>
      </w:r>
      <w:r w:rsidR="00DE24D8">
        <w:t>C</w:t>
      </w:r>
      <w:r w:rsidR="00B4797A">
        <w:t xml:space="preserve">omparative peer level data </w:t>
      </w:r>
      <w:r w:rsidR="00DE24D8">
        <w:t xml:space="preserve">will be made available </w:t>
      </w:r>
      <w:r w:rsidR="00B921AB">
        <w:t xml:space="preserve">to better inform governments and health providers </w:t>
      </w:r>
      <w:r w:rsidR="00DE24D8">
        <w:t>about the</w:t>
      </w:r>
      <w:r w:rsidR="0073495C">
        <w:t xml:space="preserve"> </w:t>
      </w:r>
      <w:r w:rsidR="00B921AB">
        <w:t>level and causes of unnecessary wastage.</w:t>
      </w:r>
      <w:r w:rsidR="00F811BF">
        <w:t xml:space="preserve">  These reports will be made available on demand to health providers and their use within existing governance frameworks in health providers and States and Territories will be strongly encouraged. </w:t>
      </w:r>
    </w:p>
    <w:p w:rsidR="00B921AB" w:rsidRDefault="00B921AB" w:rsidP="00583875">
      <w:pPr>
        <w:spacing w:after="240" w:line="312" w:lineRule="auto"/>
      </w:pPr>
      <w:r>
        <w:t xml:space="preserve">Public release </w:t>
      </w:r>
      <w:r w:rsidR="004D5979">
        <w:t xml:space="preserve">through the NBA website </w:t>
      </w:r>
      <w:r>
        <w:t>of high level summary discard data by health provider will enhance transparency and public accountability</w:t>
      </w:r>
      <w:r w:rsidR="00C62EF7">
        <w:t>. It will also</w:t>
      </w:r>
      <w:r>
        <w:t xml:space="preserve"> enhance the awareness of this issue by all health sector workers and should assist health providers to further promote strategies to reduce unnecessary wastage. </w:t>
      </w:r>
      <w:r w:rsidR="00CC0D44">
        <w:t xml:space="preserve">  The data released will differentiate between units issued to a health provider and discarded by the same health provider and units issued to a health provider, but discarded by a different health provider so as not to discourage the movement of units between health providers </w:t>
      </w:r>
      <w:r w:rsidR="00F811BF">
        <w:t xml:space="preserve">that does lead to wastage reductions. </w:t>
      </w:r>
    </w:p>
    <w:p w:rsidR="00F76BD7" w:rsidRDefault="00F76BD7" w:rsidP="00F76BD7">
      <w:pPr>
        <w:spacing w:after="240" w:line="312" w:lineRule="auto"/>
      </w:pPr>
      <w:r w:rsidRPr="00FD0B45">
        <w:t>The performance data will help target waste reduction initiatives and is consistent with the National Safety and Quality Health Service (</w:t>
      </w:r>
      <w:proofErr w:type="spellStart"/>
      <w:r w:rsidRPr="00FD0B45">
        <w:t>NSQHS</w:t>
      </w:r>
      <w:proofErr w:type="spellEnd"/>
      <w:r w:rsidRPr="00FD0B45">
        <w:t>) Standard 7, “Blood and Blood Products” which requires health service organisations to have systems to monitor wastage of blood and blood products.</w:t>
      </w:r>
    </w:p>
    <w:p w:rsidR="003F3FB1" w:rsidRPr="00FD0B45" w:rsidRDefault="003E0075" w:rsidP="003F3FB1">
      <w:pPr>
        <w:pStyle w:val="Heading3"/>
      </w:pPr>
      <w:bookmarkStart w:id="11" w:name="_Toc343260148"/>
      <w:r>
        <w:t xml:space="preserve">Establish </w:t>
      </w:r>
      <w:r w:rsidR="0073495C">
        <w:t>TARGETS</w:t>
      </w:r>
      <w:r>
        <w:t xml:space="preserve"> for discard rates</w:t>
      </w:r>
      <w:bookmarkEnd w:id="11"/>
      <w:r w:rsidR="003F3FB1" w:rsidRPr="00FD0B45">
        <w:t xml:space="preserve"> </w:t>
      </w:r>
    </w:p>
    <w:p w:rsidR="00B921AB" w:rsidRDefault="00C62EF7" w:rsidP="003F3FB1">
      <w:pPr>
        <w:spacing w:after="240" w:line="312" w:lineRule="auto"/>
      </w:pPr>
      <w:r>
        <w:t>W</w:t>
      </w:r>
      <w:r w:rsidR="003F3FB1" w:rsidRPr="00FD0B45">
        <w:t xml:space="preserve">ork with all jurisdictions to </w:t>
      </w:r>
      <w:r w:rsidR="003F3FB1">
        <w:t>e</w:t>
      </w:r>
      <w:r w:rsidR="003F3FB1" w:rsidRPr="003F3FB1">
        <w:t xml:space="preserve">stablish </w:t>
      </w:r>
      <w:r w:rsidR="0073495C">
        <w:t>targets</w:t>
      </w:r>
      <w:r w:rsidR="003F3FB1" w:rsidRPr="003F3FB1">
        <w:t xml:space="preserve"> for </w:t>
      </w:r>
      <w:r w:rsidR="003E0075">
        <w:t xml:space="preserve">discard rates for </w:t>
      </w:r>
      <w:r w:rsidR="003F3FB1" w:rsidRPr="00FD0B45">
        <w:t xml:space="preserve">red </w:t>
      </w:r>
      <w:r w:rsidR="0073495C">
        <w:t xml:space="preserve">blood </w:t>
      </w:r>
      <w:r w:rsidR="003F3FB1" w:rsidRPr="00FD0B45">
        <w:t xml:space="preserve">cells, platelets and </w:t>
      </w:r>
      <w:r w:rsidR="0073495C">
        <w:t xml:space="preserve">clinical </w:t>
      </w:r>
      <w:r w:rsidR="003F3FB1" w:rsidRPr="00FD0B45">
        <w:t xml:space="preserve">fresh frozen plasma for the public and private sectors. </w:t>
      </w:r>
      <w:r w:rsidR="0063210D">
        <w:t xml:space="preserve">Shadow </w:t>
      </w:r>
      <w:r w:rsidR="0073495C">
        <w:t xml:space="preserve">targets </w:t>
      </w:r>
      <w:r w:rsidR="0063210D">
        <w:t>will be utilised in 2013</w:t>
      </w:r>
      <w:r w:rsidR="0073495C">
        <w:t>-</w:t>
      </w:r>
      <w:r w:rsidR="0063210D">
        <w:t xml:space="preserve">14 to </w:t>
      </w:r>
      <w:r w:rsidR="003F3FB1">
        <w:t>facilitate</w:t>
      </w:r>
      <w:r w:rsidR="0063210D">
        <w:t xml:space="preserve"> the implementation of agreed </w:t>
      </w:r>
      <w:r w:rsidR="0073495C">
        <w:t>targets</w:t>
      </w:r>
      <w:r w:rsidR="0063210D">
        <w:t xml:space="preserve"> from 2014</w:t>
      </w:r>
      <w:r w:rsidR="0073495C">
        <w:t>-</w:t>
      </w:r>
      <w:r w:rsidR="0063210D">
        <w:t xml:space="preserve">15 onwards.   </w:t>
      </w:r>
    </w:p>
    <w:p w:rsidR="003F3FB1" w:rsidRPr="00FD0B45" w:rsidRDefault="000929F4" w:rsidP="003F3FB1">
      <w:pPr>
        <w:spacing w:after="240" w:line="312" w:lineRule="auto"/>
      </w:pPr>
      <w:r>
        <w:t xml:space="preserve">Once established, </w:t>
      </w:r>
      <w:r w:rsidR="00F811BF">
        <w:t xml:space="preserve">nationally consistent </w:t>
      </w:r>
      <w:r w:rsidR="00914759">
        <w:t xml:space="preserve">regular reports against the </w:t>
      </w:r>
      <w:r w:rsidR="0073495C">
        <w:t>targets</w:t>
      </w:r>
      <w:r w:rsidR="00914759">
        <w:t xml:space="preserve"> will be </w:t>
      </w:r>
      <w:r w:rsidR="0003260B">
        <w:t xml:space="preserve">able to be </w:t>
      </w:r>
      <w:r w:rsidR="00914759">
        <w:t xml:space="preserve">provided </w:t>
      </w:r>
      <w:r w:rsidR="00914759" w:rsidRPr="00FD0B45">
        <w:t xml:space="preserve">at </w:t>
      </w:r>
      <w:r w:rsidR="00B4797A">
        <w:t>health provider, organisational unit (e</w:t>
      </w:r>
      <w:r w:rsidR="00687114">
        <w:t>.</w:t>
      </w:r>
      <w:r w:rsidR="00B4797A">
        <w:t>g</w:t>
      </w:r>
      <w:r w:rsidR="00687114">
        <w:t>.</w:t>
      </w:r>
      <w:r w:rsidR="00B4797A">
        <w:t xml:space="preserve"> a Local Health District or Pathology Service)</w:t>
      </w:r>
      <w:r w:rsidR="00687114">
        <w:t>,</w:t>
      </w:r>
      <w:r w:rsidR="00B4797A">
        <w:t xml:space="preserve"> State/Territory and national</w:t>
      </w:r>
      <w:r w:rsidR="00687114">
        <w:t xml:space="preserve"> levels</w:t>
      </w:r>
      <w:r w:rsidR="00914759">
        <w:t xml:space="preserve">.  </w:t>
      </w:r>
      <w:r w:rsidR="00405332">
        <w:t xml:space="preserve"> </w:t>
      </w:r>
    </w:p>
    <w:p w:rsidR="0037416A" w:rsidRDefault="00B4403F" w:rsidP="0037416A">
      <w:pPr>
        <w:pStyle w:val="Heading3"/>
      </w:pPr>
      <w:r>
        <w:t>Better</w:t>
      </w:r>
      <w:r w:rsidR="00AF11C3">
        <w:t xml:space="preserve"> practice inventory management</w:t>
      </w:r>
    </w:p>
    <w:p w:rsidR="00AF11C3" w:rsidRDefault="00845902" w:rsidP="00845902">
      <w:pPr>
        <w:spacing w:after="0" w:line="312" w:lineRule="auto"/>
      </w:pPr>
      <w:r>
        <w:t xml:space="preserve">Existing inventory management projects, including the </w:t>
      </w:r>
      <w:r w:rsidR="00AF11C3">
        <w:t>National Inventory Management Framework (</w:t>
      </w:r>
      <w:proofErr w:type="spellStart"/>
      <w:r w:rsidR="00AF11C3">
        <w:t>NIMF</w:t>
      </w:r>
      <w:proofErr w:type="spellEnd"/>
      <w:r w:rsidR="00AF11C3">
        <w:t>) collaborative project with the Blood Service</w:t>
      </w:r>
      <w:r w:rsidR="0073495C">
        <w:t xml:space="preserve"> and</w:t>
      </w:r>
      <w:r w:rsidR="00AF11C3">
        <w:t xml:space="preserve"> the </w:t>
      </w:r>
      <w:r w:rsidR="001C73F3">
        <w:t xml:space="preserve">National Blood Authority </w:t>
      </w:r>
      <w:r w:rsidR="00AF11C3">
        <w:t xml:space="preserve">will </w:t>
      </w:r>
      <w:r w:rsidR="0049573B">
        <w:t>enable</w:t>
      </w:r>
      <w:r w:rsidR="00EC41E0">
        <w:t xml:space="preserve"> better practice inventory management across the sector. </w:t>
      </w:r>
    </w:p>
    <w:p w:rsidR="007F381B" w:rsidRDefault="007F381B" w:rsidP="00481879">
      <w:pPr>
        <w:spacing w:after="0" w:line="312" w:lineRule="auto"/>
      </w:pPr>
    </w:p>
    <w:p w:rsidR="00B4403F" w:rsidRDefault="00B4403F" w:rsidP="00481879">
      <w:pPr>
        <w:spacing w:after="0" w:line="312" w:lineRule="auto"/>
      </w:pPr>
      <w:r>
        <w:lastRenderedPageBreak/>
        <w:t xml:space="preserve">Documenting and promoting existing better practice in inventory management through the development and dissemination of case studies from a range of health providers will enable health providers to identify how they could improve their own practices utilising techniques and tools </w:t>
      </w:r>
      <w:r w:rsidR="00DE7B29">
        <w:t xml:space="preserve">used and </w:t>
      </w:r>
      <w:r>
        <w:t>developed by their peers.</w:t>
      </w:r>
    </w:p>
    <w:p w:rsidR="00DE7B29" w:rsidRPr="003E21CA" w:rsidRDefault="00DE7B29" w:rsidP="00481879">
      <w:pPr>
        <w:spacing w:after="0" w:line="312" w:lineRule="auto"/>
        <w:rPr>
          <w:sz w:val="18"/>
          <w:szCs w:val="18"/>
        </w:rPr>
      </w:pPr>
    </w:p>
    <w:p w:rsidR="00902053" w:rsidRDefault="00E91B90" w:rsidP="00B4403F">
      <w:pPr>
        <w:spacing w:after="0" w:line="312" w:lineRule="auto"/>
      </w:pPr>
      <w:r>
        <w:t>The development of the</w:t>
      </w:r>
      <w:r w:rsidR="00892687">
        <w:t xml:space="preserve"> evidence-based</w:t>
      </w:r>
      <w:r>
        <w:t xml:space="preserve"> </w:t>
      </w:r>
      <w:r w:rsidR="00845902" w:rsidRPr="00845902">
        <w:rPr>
          <w:i/>
        </w:rPr>
        <w:t xml:space="preserve">Managing Blood Product Inventory: </w:t>
      </w:r>
      <w:r w:rsidR="00845902">
        <w:rPr>
          <w:i/>
        </w:rPr>
        <w:t xml:space="preserve"> </w:t>
      </w:r>
      <w:r w:rsidR="00845902" w:rsidRPr="00845902">
        <w:rPr>
          <w:i/>
        </w:rPr>
        <w:t>Guidelines for Australian Health Providers</w:t>
      </w:r>
      <w:r w:rsidR="00845902">
        <w:t xml:space="preserve">, </w:t>
      </w:r>
      <w:r>
        <w:t xml:space="preserve">supported by </w:t>
      </w:r>
      <w:r w:rsidR="00902053">
        <w:t xml:space="preserve">a toolkit of better practice </w:t>
      </w:r>
      <w:r w:rsidR="007645F6">
        <w:t xml:space="preserve">tools that can be modified, branded and adopted by health providers will further support health providers and will provide a suitable benchmark for those accrediting health providers and pathology laboratories. </w:t>
      </w:r>
    </w:p>
    <w:p w:rsidR="00902053" w:rsidRPr="003E21CA" w:rsidRDefault="00902053" w:rsidP="00B4403F">
      <w:pPr>
        <w:spacing w:after="0" w:line="312" w:lineRule="auto"/>
        <w:rPr>
          <w:sz w:val="18"/>
          <w:szCs w:val="18"/>
        </w:rPr>
      </w:pPr>
    </w:p>
    <w:p w:rsidR="007645F6" w:rsidRDefault="007645F6" w:rsidP="007645F6">
      <w:pPr>
        <w:spacing w:after="240" w:line="312" w:lineRule="auto"/>
      </w:pPr>
      <w:r>
        <w:t xml:space="preserve">The </w:t>
      </w:r>
      <w:r w:rsidR="001C73F3">
        <w:t xml:space="preserve">development </w:t>
      </w:r>
      <w:r>
        <w:t>of</w:t>
      </w:r>
      <w:r w:rsidR="001C73F3">
        <w:t xml:space="preserve"> a set of tools to </w:t>
      </w:r>
      <w:r w:rsidR="00845902">
        <w:t xml:space="preserve">support the </w:t>
      </w:r>
      <w:r w:rsidR="00845902" w:rsidRPr="00845902">
        <w:rPr>
          <w:i/>
        </w:rPr>
        <w:t xml:space="preserve">Managing Blood Product Inventory: </w:t>
      </w:r>
      <w:r w:rsidR="00845902">
        <w:rPr>
          <w:i/>
        </w:rPr>
        <w:t xml:space="preserve"> </w:t>
      </w:r>
      <w:r w:rsidR="00845902" w:rsidRPr="00845902">
        <w:rPr>
          <w:i/>
        </w:rPr>
        <w:t>Guidelines for Australian Health Providers</w:t>
      </w:r>
      <w:r w:rsidR="00845902">
        <w:rPr>
          <w:i/>
        </w:rPr>
        <w:t xml:space="preserve"> </w:t>
      </w:r>
      <w:r w:rsidR="00845902">
        <w:t xml:space="preserve">will assist </w:t>
      </w:r>
      <w:r w:rsidR="001C73F3">
        <w:t xml:space="preserve">health providers to establish the most appropriate minimum and maximum bands for their inventory holdings based on a safety stock calculation and historical trend data on demand and issues. </w:t>
      </w:r>
    </w:p>
    <w:p w:rsidR="007645F6" w:rsidRPr="007645F6" w:rsidRDefault="007645F6" w:rsidP="007645F6">
      <w:pPr>
        <w:pStyle w:val="Heading3"/>
      </w:pPr>
      <w:r>
        <w:t xml:space="preserve">Education and training </w:t>
      </w:r>
    </w:p>
    <w:p w:rsidR="00C62EF7" w:rsidRDefault="00C62EF7" w:rsidP="00C62EF7">
      <w:pPr>
        <w:spacing w:after="0" w:line="312" w:lineRule="auto"/>
      </w:pPr>
      <w:r>
        <w:t xml:space="preserve">Develop core </w:t>
      </w:r>
      <w:r w:rsidR="00BC6D3D">
        <w:t>training and assessment requirements</w:t>
      </w:r>
      <w:r>
        <w:t xml:space="preserve"> for staff managing blood and blood product inventories along with training resources to enable staff to meet those </w:t>
      </w:r>
      <w:r w:rsidR="00BC6D3D">
        <w:t>requirements</w:t>
      </w:r>
      <w:r>
        <w:t xml:space="preserve">.  </w:t>
      </w:r>
    </w:p>
    <w:p w:rsidR="0072465F" w:rsidRPr="003E21CA" w:rsidRDefault="0072465F" w:rsidP="00B4403F">
      <w:pPr>
        <w:spacing w:after="0" w:line="312" w:lineRule="auto"/>
        <w:rPr>
          <w:sz w:val="18"/>
          <w:szCs w:val="18"/>
        </w:rPr>
      </w:pPr>
    </w:p>
    <w:p w:rsidR="0072465F" w:rsidRDefault="0072465F" w:rsidP="00B4403F">
      <w:pPr>
        <w:spacing w:after="0" w:line="312" w:lineRule="auto"/>
      </w:pPr>
      <w:r>
        <w:t xml:space="preserve">Improving inventory management will be listed as a key priority in the </w:t>
      </w:r>
      <w:r w:rsidRPr="0072465F">
        <w:rPr>
          <w:i/>
        </w:rPr>
        <w:t>Blood Sector Education and Training Strategy</w:t>
      </w:r>
      <w:r>
        <w:t xml:space="preserve"> </w:t>
      </w:r>
      <w:r w:rsidR="00C62EF7">
        <w:t xml:space="preserve">that is </w:t>
      </w:r>
      <w:r>
        <w:t>currently under development</w:t>
      </w:r>
      <w:r w:rsidR="00D44798">
        <w:t>. T</w:t>
      </w:r>
      <w:r>
        <w:t>he National Blood Authority will work with key stakeholders in this area to feature training in inventory management in existing training programs and courses.</w:t>
      </w:r>
    </w:p>
    <w:p w:rsidR="0072465F" w:rsidRPr="003E21CA" w:rsidRDefault="0072465F" w:rsidP="00B4403F">
      <w:pPr>
        <w:spacing w:after="0" w:line="312" w:lineRule="auto"/>
        <w:rPr>
          <w:sz w:val="10"/>
          <w:szCs w:val="10"/>
        </w:rPr>
      </w:pPr>
    </w:p>
    <w:p w:rsidR="0072465F" w:rsidRPr="0072465F" w:rsidRDefault="0072465F" w:rsidP="0072465F">
      <w:pPr>
        <w:pStyle w:val="Heading3"/>
      </w:pPr>
      <w:r>
        <w:t>Enhanced awareness of unit prices</w:t>
      </w:r>
    </w:p>
    <w:p w:rsidR="0049573B" w:rsidRDefault="00E56C5A" w:rsidP="00B4403F">
      <w:pPr>
        <w:spacing w:after="0" w:line="312" w:lineRule="auto"/>
      </w:pPr>
      <w:r>
        <w:t xml:space="preserve">Increase health provider staff </w:t>
      </w:r>
      <w:r w:rsidR="000D029B">
        <w:t xml:space="preserve">and patient </w:t>
      </w:r>
      <w:r w:rsidR="0072465F">
        <w:t>awareness of the costs of blood and blood products through</w:t>
      </w:r>
      <w:r w:rsidR="0049573B">
        <w:t>:</w:t>
      </w:r>
    </w:p>
    <w:p w:rsidR="0049573B" w:rsidRDefault="0072465F" w:rsidP="0049573B">
      <w:pPr>
        <w:pStyle w:val="ListParagraph"/>
        <w:numPr>
          <w:ilvl w:val="0"/>
          <w:numId w:val="5"/>
        </w:numPr>
        <w:spacing w:after="0" w:line="312" w:lineRule="auto"/>
      </w:pPr>
      <w:r>
        <w:t>incorporation of individual unit</w:t>
      </w:r>
      <w:r w:rsidR="0049573B">
        <w:t xml:space="preserve"> prices in all BloodNet reports;</w:t>
      </w:r>
      <w:r>
        <w:t xml:space="preserve"> </w:t>
      </w:r>
    </w:p>
    <w:p w:rsidR="0049573B" w:rsidRDefault="0072465F" w:rsidP="0049573B">
      <w:pPr>
        <w:pStyle w:val="ListParagraph"/>
        <w:numPr>
          <w:ilvl w:val="0"/>
          <w:numId w:val="5"/>
        </w:numPr>
        <w:spacing w:after="0" w:line="312" w:lineRule="auto"/>
      </w:pPr>
      <w:r>
        <w:t>addition of a price label on all fresh blood products (noting that consultation on this is already underway with the Blood Service and Therapeutic Goods Administration)</w:t>
      </w:r>
      <w:r w:rsidR="0049573B">
        <w:t>; and</w:t>
      </w:r>
    </w:p>
    <w:p w:rsidR="00E56C5A" w:rsidRDefault="0072465F" w:rsidP="0049573B">
      <w:pPr>
        <w:pStyle w:val="ListParagraph"/>
        <w:numPr>
          <w:ilvl w:val="0"/>
          <w:numId w:val="5"/>
        </w:numPr>
        <w:spacing w:after="0" w:line="312" w:lineRule="auto"/>
      </w:pPr>
      <w:proofErr w:type="gramStart"/>
      <w:r>
        <w:t>publication</w:t>
      </w:r>
      <w:proofErr w:type="gramEnd"/>
      <w:r>
        <w:t xml:space="preserve"> on the </w:t>
      </w:r>
      <w:r w:rsidR="00C62EF7">
        <w:t xml:space="preserve">National Blood Authority’s </w:t>
      </w:r>
      <w:r>
        <w:t xml:space="preserve">website of a national product catalogue.  </w:t>
      </w:r>
    </w:p>
    <w:p w:rsidR="0072465F" w:rsidRDefault="00E56C5A" w:rsidP="00B4403F">
      <w:pPr>
        <w:spacing w:after="0" w:line="312" w:lineRule="auto"/>
      </w:pPr>
      <w:r>
        <w:br/>
      </w:r>
      <w:r w:rsidR="0072465F">
        <w:t>It is anticipated that this increased awaren</w:t>
      </w:r>
      <w:r w:rsidR="00DB033B">
        <w:t xml:space="preserve">ess </w:t>
      </w:r>
      <w:r w:rsidR="00D44798">
        <w:t xml:space="preserve">will lead to </w:t>
      </w:r>
      <w:r w:rsidR="0003260B">
        <w:t xml:space="preserve">an </w:t>
      </w:r>
      <w:r w:rsidR="00D44798">
        <w:t xml:space="preserve">appreciation </w:t>
      </w:r>
      <w:r w:rsidR="00DB033B">
        <w:t xml:space="preserve">that </w:t>
      </w:r>
      <w:r w:rsidR="001C73F3">
        <w:t xml:space="preserve">whilst donations are voluntary, the </w:t>
      </w:r>
      <w:r w:rsidR="00845902">
        <w:t xml:space="preserve">collection, </w:t>
      </w:r>
      <w:r w:rsidR="001C73F3">
        <w:t xml:space="preserve">processing, </w:t>
      </w:r>
      <w:proofErr w:type="gramStart"/>
      <w:r w:rsidR="001C73F3">
        <w:t>testing</w:t>
      </w:r>
      <w:proofErr w:type="gramEnd"/>
      <w:r w:rsidR="001C73F3">
        <w:t xml:space="preserve"> and distribution functions </w:t>
      </w:r>
      <w:r w:rsidR="00656700">
        <w:t xml:space="preserve">for </w:t>
      </w:r>
      <w:r w:rsidR="00DB033B">
        <w:t>blood and blood products</w:t>
      </w:r>
      <w:r w:rsidR="00656700">
        <w:t xml:space="preserve"> incur significant costs</w:t>
      </w:r>
      <w:r w:rsidR="0003260B">
        <w:t>. This in turn</w:t>
      </w:r>
      <w:r w:rsidR="00DB033B">
        <w:t xml:space="preserve"> </w:t>
      </w:r>
      <w:r w:rsidR="00B56834">
        <w:t xml:space="preserve">may </w:t>
      </w:r>
      <w:r w:rsidR="00DB033B">
        <w:t xml:space="preserve">lead to a reduction in usage </w:t>
      </w:r>
      <w:r w:rsidR="00B56834">
        <w:t xml:space="preserve">when an appropriate </w:t>
      </w:r>
      <w:r w:rsidR="00845902">
        <w:t xml:space="preserve">alternate </w:t>
      </w:r>
      <w:r w:rsidR="00B56834">
        <w:t>product is available</w:t>
      </w:r>
      <w:r w:rsidR="00845902">
        <w:t>.</w:t>
      </w:r>
    </w:p>
    <w:p w:rsidR="00DB033B" w:rsidRPr="003E21CA" w:rsidRDefault="00DB033B" w:rsidP="00B4403F">
      <w:pPr>
        <w:spacing w:after="0" w:line="312" w:lineRule="auto"/>
        <w:rPr>
          <w:sz w:val="10"/>
          <w:szCs w:val="10"/>
        </w:rPr>
      </w:pPr>
    </w:p>
    <w:p w:rsidR="00DB033B" w:rsidRDefault="00DB033B" w:rsidP="00DB033B">
      <w:pPr>
        <w:pStyle w:val="Heading3"/>
      </w:pPr>
      <w:r>
        <w:t>Enhanced collaboration</w:t>
      </w:r>
    </w:p>
    <w:p w:rsidR="00DB033B" w:rsidRDefault="00DB033B" w:rsidP="00B4403F">
      <w:pPr>
        <w:spacing w:after="0" w:line="312" w:lineRule="auto"/>
      </w:pPr>
      <w:r>
        <w:t xml:space="preserve">Further developing existing </w:t>
      </w:r>
      <w:r w:rsidR="00E56C5A">
        <w:t xml:space="preserve">collaborative </w:t>
      </w:r>
      <w:r>
        <w:t xml:space="preserve">networks across the blood sector will be </w:t>
      </w:r>
      <w:proofErr w:type="gramStart"/>
      <w:r>
        <w:t>key</w:t>
      </w:r>
      <w:proofErr w:type="gramEnd"/>
      <w:r>
        <w:t xml:space="preserve"> to ensuring the widespread adoption and successful implementation of wastage reduction measures. The </w:t>
      </w:r>
      <w:r w:rsidR="00C62EF7">
        <w:t xml:space="preserve">National Blood Authority </w:t>
      </w:r>
      <w:r>
        <w:t>will utilise existing consultative arrangements and networks including the new BloodChat (online discussion forum), system user groups (such as the BloodNet User Reference Group)</w:t>
      </w:r>
      <w:r w:rsidR="00A31BAD">
        <w:t xml:space="preserve"> </w:t>
      </w:r>
      <w:r w:rsidR="00A31BAD">
        <w:lastRenderedPageBreak/>
        <w:t>to engage with health provider staff in both formal and informal means to further discuss and advance wastage reduction.</w:t>
      </w:r>
    </w:p>
    <w:p w:rsidR="009F1977" w:rsidRDefault="009F1977" w:rsidP="00B4403F">
      <w:pPr>
        <w:spacing w:after="0" w:line="312" w:lineRule="auto"/>
      </w:pPr>
    </w:p>
    <w:p w:rsidR="007543BB" w:rsidRDefault="00A31BAD" w:rsidP="00B4403F">
      <w:pPr>
        <w:spacing w:after="0" w:line="312" w:lineRule="auto"/>
      </w:pPr>
      <w:r>
        <w:t xml:space="preserve">Targeted engagement with the private sector (both health providers and pathology organisations) will be implemented as a priority, </w:t>
      </w:r>
      <w:r w:rsidR="007543BB">
        <w:t xml:space="preserve">given </w:t>
      </w:r>
      <w:r>
        <w:t xml:space="preserve">that </w:t>
      </w:r>
      <w:r w:rsidR="00052B1E" w:rsidRPr="00656700">
        <w:t>28</w:t>
      </w:r>
      <w:r w:rsidRPr="00656700">
        <w:t>%</w:t>
      </w:r>
      <w:r>
        <w:t xml:space="preserve"> of </w:t>
      </w:r>
      <w:r w:rsidR="00664DD5">
        <w:t xml:space="preserve">fresh blood </w:t>
      </w:r>
      <w:r>
        <w:t xml:space="preserve">product issues nationally are currently </w:t>
      </w:r>
      <w:r w:rsidR="00454BAD">
        <w:t>issued by suppliers to</w:t>
      </w:r>
      <w:r>
        <w:t xml:space="preserve"> the private sector. This engagement will include</w:t>
      </w:r>
      <w:r w:rsidR="007543BB">
        <w:t>:</w:t>
      </w:r>
    </w:p>
    <w:p w:rsidR="007543BB" w:rsidRDefault="00A31BAD" w:rsidP="0049573B">
      <w:pPr>
        <w:pStyle w:val="ListParagraph"/>
        <w:numPr>
          <w:ilvl w:val="0"/>
          <w:numId w:val="4"/>
        </w:numPr>
        <w:spacing w:after="0" w:line="312" w:lineRule="auto"/>
      </w:pPr>
      <w:r>
        <w:t>one-on-one meetings with senior staff</w:t>
      </w:r>
      <w:r w:rsidR="007543BB">
        <w:t>;</w:t>
      </w:r>
    </w:p>
    <w:p w:rsidR="007543BB" w:rsidRDefault="00A31BAD" w:rsidP="0049573B">
      <w:pPr>
        <w:pStyle w:val="ListParagraph"/>
        <w:numPr>
          <w:ilvl w:val="0"/>
          <w:numId w:val="4"/>
        </w:numPr>
        <w:spacing w:after="0" w:line="312" w:lineRule="auto"/>
      </w:pPr>
      <w:r>
        <w:t xml:space="preserve">participation in private </w:t>
      </w:r>
      <w:r w:rsidR="00E24657">
        <w:t>hospitals</w:t>
      </w:r>
      <w:r>
        <w:t xml:space="preserve"> and pathology organisation association meetings</w:t>
      </w:r>
      <w:r w:rsidR="007543BB">
        <w:t xml:space="preserve">; </w:t>
      </w:r>
      <w:r>
        <w:t>and</w:t>
      </w:r>
    </w:p>
    <w:p w:rsidR="00A31BAD" w:rsidRDefault="00A31BAD" w:rsidP="0049573B">
      <w:pPr>
        <w:pStyle w:val="ListParagraph"/>
        <w:numPr>
          <w:ilvl w:val="0"/>
          <w:numId w:val="4"/>
        </w:numPr>
        <w:spacing w:after="0" w:line="312" w:lineRule="auto"/>
      </w:pPr>
      <w:proofErr w:type="gramStart"/>
      <w:r>
        <w:t>an</w:t>
      </w:r>
      <w:proofErr w:type="gramEnd"/>
      <w:r>
        <w:t xml:space="preserve"> annual forum for senior private sector stakeholders to engage nationally with the National Blood Authority in relation to the national blood arrangements.</w:t>
      </w:r>
    </w:p>
    <w:p w:rsidR="00A31BAD" w:rsidRPr="00DF7EBA" w:rsidRDefault="00A31BAD" w:rsidP="00B4403F">
      <w:pPr>
        <w:spacing w:after="0" w:line="312" w:lineRule="auto"/>
        <w:rPr>
          <w:sz w:val="18"/>
          <w:szCs w:val="18"/>
        </w:rPr>
      </w:pPr>
    </w:p>
    <w:p w:rsidR="00A31BAD" w:rsidRDefault="007543BB" w:rsidP="00B4403F">
      <w:pPr>
        <w:spacing w:after="0" w:line="312" w:lineRule="auto"/>
      </w:pPr>
      <w:r>
        <w:t>Establish c</w:t>
      </w:r>
      <w:r w:rsidR="00A31BAD">
        <w:t>hampion networks of key clinical and scientific officers within health providers, with the National Blood Authority providing online resources and information for these champions to implement wastage reduction strategies in their hospitals.</w:t>
      </w:r>
    </w:p>
    <w:p w:rsidR="00A31BAD" w:rsidRPr="00DF7EBA" w:rsidRDefault="00A31BAD" w:rsidP="00B4403F">
      <w:pPr>
        <w:spacing w:after="0" w:line="312" w:lineRule="auto"/>
        <w:rPr>
          <w:sz w:val="18"/>
          <w:szCs w:val="18"/>
        </w:rPr>
      </w:pPr>
    </w:p>
    <w:p w:rsidR="00A31BAD" w:rsidRDefault="00A31BAD" w:rsidP="00B4403F">
      <w:pPr>
        <w:spacing w:after="0" w:line="312" w:lineRule="auto"/>
      </w:pPr>
      <w:r w:rsidRPr="00583875">
        <w:t>Develop</w:t>
      </w:r>
      <w:r>
        <w:t xml:space="preserve"> </w:t>
      </w:r>
      <w:r w:rsidRPr="00583875">
        <w:t xml:space="preserve">a biannual national awards program that will acknowledge excellence in the management of </w:t>
      </w:r>
      <w:r>
        <w:t xml:space="preserve">blood and </w:t>
      </w:r>
      <w:r w:rsidRPr="00583875">
        <w:t>blood products in the area of inventory management and wastage reduction.</w:t>
      </w:r>
      <w:r>
        <w:t xml:space="preserve"> The first awards ceremony will be scheduled for late 2013 and will enable the sector to share better practice in inventory management and encourage health providers to strive for greater wastage reduction.</w:t>
      </w:r>
      <w:r w:rsidR="00664DD5">
        <w:t xml:space="preserve"> The awards program will be structured to ensure that it encompasses the range of variables (such as procedures performed, remoteness etc) that health providers may encounter.</w:t>
      </w:r>
    </w:p>
    <w:p w:rsidR="00A31BAD" w:rsidRPr="00DF7EBA" w:rsidRDefault="00A31BAD" w:rsidP="00B4403F">
      <w:pPr>
        <w:spacing w:after="0" w:line="312" w:lineRule="auto"/>
        <w:rPr>
          <w:sz w:val="18"/>
          <w:szCs w:val="18"/>
        </w:rPr>
      </w:pPr>
    </w:p>
    <w:p w:rsidR="00A31BAD" w:rsidRDefault="00A31BAD" w:rsidP="00B4403F">
      <w:pPr>
        <w:spacing w:after="0" w:line="312" w:lineRule="auto"/>
      </w:pPr>
      <w:r>
        <w:t>Consider conducting an Australasian conference to promote better practice in both inventory management and appropriate use.</w:t>
      </w:r>
    </w:p>
    <w:p w:rsidR="004611FC" w:rsidRPr="003E21CA" w:rsidRDefault="004611FC" w:rsidP="004611FC">
      <w:pPr>
        <w:spacing w:after="0"/>
        <w:rPr>
          <w:sz w:val="10"/>
          <w:szCs w:val="10"/>
        </w:rPr>
      </w:pPr>
    </w:p>
    <w:p w:rsidR="00DB033B" w:rsidRDefault="00157523" w:rsidP="00157523">
      <w:pPr>
        <w:pStyle w:val="Heading3"/>
      </w:pPr>
      <w:r>
        <w:t>Addressing system</w:t>
      </w:r>
      <w:r w:rsidR="00052B1E">
        <w:t>IC</w:t>
      </w:r>
      <w:r>
        <w:t xml:space="preserve"> issues</w:t>
      </w:r>
    </w:p>
    <w:p w:rsidR="00157523" w:rsidRDefault="00157523" w:rsidP="00AA2009">
      <w:pPr>
        <w:spacing w:after="0" w:line="312" w:lineRule="auto"/>
      </w:pPr>
      <w:r>
        <w:t>Identify</w:t>
      </w:r>
      <w:r w:rsidR="00A829AC">
        <w:t>ing</w:t>
      </w:r>
      <w:r>
        <w:t xml:space="preserve"> key contributory factors to unnecessary wastage will be a high priority, with specific proposals to be developed to address (where possible), systemic issues.  </w:t>
      </w:r>
    </w:p>
    <w:p w:rsidR="00157523" w:rsidRPr="00DF7EBA" w:rsidRDefault="00157523" w:rsidP="00AA2009">
      <w:pPr>
        <w:spacing w:after="0" w:line="312" w:lineRule="auto"/>
        <w:rPr>
          <w:sz w:val="18"/>
          <w:szCs w:val="18"/>
        </w:rPr>
      </w:pPr>
    </w:p>
    <w:p w:rsidR="00157523" w:rsidRDefault="00157523" w:rsidP="00AA2009">
      <w:pPr>
        <w:spacing w:after="0" w:line="312" w:lineRule="auto"/>
      </w:pPr>
      <w:r>
        <w:t>Key issues identified for early consideration include product transfer arrangements between health providers (with a view to maximising the potential for product transfer thus minimising wastage)</w:t>
      </w:r>
      <w:r w:rsidR="00BC6D3D">
        <w:t xml:space="preserve"> of all types</w:t>
      </w:r>
      <w:r w:rsidR="00656700">
        <w:t xml:space="preserve">, </w:t>
      </w:r>
      <w:r>
        <w:t xml:space="preserve"> the use of thawed </w:t>
      </w:r>
      <w:r w:rsidR="00E24657">
        <w:t xml:space="preserve">clinical </w:t>
      </w:r>
      <w:r>
        <w:t>fresh frozen plasma</w:t>
      </w:r>
      <w:r w:rsidR="00656700">
        <w:t xml:space="preserve"> and issues relating to clinical fresh frozen plasma bags being damaged during handling and splitting upon thawing for use.</w:t>
      </w:r>
      <w:r>
        <w:t xml:space="preserve"> </w:t>
      </w:r>
    </w:p>
    <w:p w:rsidR="006B47D3" w:rsidRPr="003E21CA" w:rsidRDefault="006B47D3" w:rsidP="004611FC">
      <w:pPr>
        <w:spacing w:after="0"/>
        <w:rPr>
          <w:sz w:val="10"/>
          <w:szCs w:val="10"/>
        </w:rPr>
      </w:pPr>
    </w:p>
    <w:p w:rsidR="006B47D3" w:rsidRDefault="006B47D3" w:rsidP="006B47D3">
      <w:pPr>
        <w:pStyle w:val="Heading3"/>
      </w:pPr>
      <w:r>
        <w:t>Promotional campaigns</w:t>
      </w:r>
    </w:p>
    <w:p w:rsidR="006B47D3" w:rsidRDefault="007543BB" w:rsidP="00AA2009">
      <w:pPr>
        <w:spacing w:after="0" w:line="312" w:lineRule="auto"/>
      </w:pPr>
      <w:r>
        <w:t>D</w:t>
      </w:r>
      <w:r w:rsidR="00F133C0">
        <w:t xml:space="preserve">evelop specific promotional campaigns, targeted at specific groups of health providers where necessary to implement the above strategies. A key campaign that will be undertaken in early 2013 will be the promotion </w:t>
      </w:r>
      <w:r w:rsidR="00D947F0">
        <w:t xml:space="preserve">within the private sector </w:t>
      </w:r>
      <w:r w:rsidR="00F133C0">
        <w:t xml:space="preserve">of this strategy and the </w:t>
      </w:r>
      <w:r w:rsidR="00E24657">
        <w:t xml:space="preserve">establishment of a </w:t>
      </w:r>
      <w:r w:rsidR="00F133C0">
        <w:t>private sector blood wastage forum.</w:t>
      </w:r>
    </w:p>
    <w:p w:rsidR="00F133C0" w:rsidRPr="00DF7EBA" w:rsidRDefault="00F133C0" w:rsidP="00AA2009">
      <w:pPr>
        <w:spacing w:after="0" w:line="312" w:lineRule="auto"/>
        <w:rPr>
          <w:sz w:val="18"/>
          <w:szCs w:val="18"/>
        </w:rPr>
      </w:pPr>
    </w:p>
    <w:p w:rsidR="007F381B" w:rsidRDefault="00F133C0" w:rsidP="00AA2009">
      <w:pPr>
        <w:spacing w:after="0" w:line="312" w:lineRule="auto"/>
      </w:pPr>
      <w:r>
        <w:t xml:space="preserve">Such campaigns will be performed in a highly targeted and limited manner, and will at most, usually involve electronic or paper communication with key stakeholders, the submission of </w:t>
      </w:r>
      <w:r w:rsidR="007543BB">
        <w:t xml:space="preserve">articles to </w:t>
      </w:r>
      <w:r>
        <w:lastRenderedPageBreak/>
        <w:t>relevant journal</w:t>
      </w:r>
      <w:r w:rsidR="007543BB">
        <w:t>s</w:t>
      </w:r>
      <w:r>
        <w:t xml:space="preserve"> and </w:t>
      </w:r>
      <w:r w:rsidR="007543BB">
        <w:t xml:space="preserve">provision of </w:t>
      </w:r>
      <w:r>
        <w:t xml:space="preserve">information online through the </w:t>
      </w:r>
      <w:r w:rsidR="00C62EF7">
        <w:t xml:space="preserve">National Blood Authority’s </w:t>
      </w:r>
      <w:r>
        <w:t xml:space="preserve">website or systems.  These campaigns will be undertaken in conjunction with jurisdictions where relevant, noting that the States and Territories will normally lead communication </w:t>
      </w:r>
      <w:r w:rsidR="001812DE">
        <w:t xml:space="preserve">campaigns that target </w:t>
      </w:r>
      <w:r>
        <w:t>public health providers</w:t>
      </w:r>
      <w:r w:rsidR="00E24657">
        <w:t xml:space="preserve"> </w:t>
      </w:r>
      <w:r w:rsidR="001812DE">
        <w:t>in their jurisdiction</w:t>
      </w:r>
      <w:r>
        <w:t>.</w:t>
      </w:r>
    </w:p>
    <w:p w:rsidR="007F381B" w:rsidRDefault="007F381B" w:rsidP="00AA2009">
      <w:pPr>
        <w:spacing w:after="0" w:line="312" w:lineRule="auto"/>
      </w:pPr>
    </w:p>
    <w:tbl>
      <w:tblPr>
        <w:tblStyle w:val="NBATableStyle1"/>
        <w:tblW w:w="5058" w:type="pct"/>
        <w:tblLook w:val="04A0" w:firstRow="1" w:lastRow="0" w:firstColumn="1" w:lastColumn="0" w:noHBand="0" w:noVBand="1"/>
        <w:tblDescription w:val="Key activities for inventory management 2013-2017"/>
      </w:tblPr>
      <w:tblGrid>
        <w:gridCol w:w="6062"/>
        <w:gridCol w:w="710"/>
        <w:gridCol w:w="708"/>
        <w:gridCol w:w="708"/>
        <w:gridCol w:w="693"/>
        <w:gridCol w:w="663"/>
      </w:tblGrid>
      <w:tr w:rsidR="00790985" w:rsidTr="00C12F7E">
        <w:trPr>
          <w:cnfStyle w:val="100000000000" w:firstRow="1" w:lastRow="0" w:firstColumn="0" w:lastColumn="0" w:oddVBand="0" w:evenVBand="0" w:oddHBand="0" w:evenHBand="0" w:firstRowFirstColumn="0" w:firstRowLastColumn="0" w:lastRowFirstColumn="0" w:lastRowLastColumn="0"/>
          <w:tblHeader/>
        </w:trPr>
        <w:tc>
          <w:tcPr>
            <w:tcW w:w="3176" w:type="pct"/>
          </w:tcPr>
          <w:p w:rsidR="00790985" w:rsidRDefault="00790985" w:rsidP="00790985">
            <w:r>
              <w:t xml:space="preserve">Activity </w:t>
            </w:r>
          </w:p>
        </w:tc>
        <w:tc>
          <w:tcPr>
            <w:tcW w:w="372" w:type="pct"/>
          </w:tcPr>
          <w:p w:rsidR="00790985" w:rsidRDefault="00790985" w:rsidP="00790985">
            <w:r>
              <w:t>2013</w:t>
            </w:r>
          </w:p>
        </w:tc>
        <w:tc>
          <w:tcPr>
            <w:tcW w:w="371" w:type="pct"/>
          </w:tcPr>
          <w:p w:rsidR="00790985" w:rsidRDefault="00790985" w:rsidP="00790985">
            <w:r>
              <w:t>2014</w:t>
            </w:r>
          </w:p>
        </w:tc>
        <w:tc>
          <w:tcPr>
            <w:tcW w:w="371" w:type="pct"/>
          </w:tcPr>
          <w:p w:rsidR="00790985" w:rsidRDefault="00790985" w:rsidP="00790985">
            <w:r>
              <w:t>2015</w:t>
            </w:r>
          </w:p>
        </w:tc>
        <w:tc>
          <w:tcPr>
            <w:tcW w:w="363" w:type="pct"/>
          </w:tcPr>
          <w:p w:rsidR="00790985" w:rsidRDefault="00790985" w:rsidP="00790985">
            <w:r>
              <w:t>2016</w:t>
            </w:r>
          </w:p>
        </w:tc>
        <w:tc>
          <w:tcPr>
            <w:tcW w:w="347" w:type="pct"/>
          </w:tcPr>
          <w:p w:rsidR="00790985" w:rsidRDefault="00790985" w:rsidP="00790985">
            <w:r>
              <w:t>2017</w:t>
            </w:r>
          </w:p>
        </w:tc>
      </w:tr>
      <w:tr w:rsidR="003E0075" w:rsidRPr="00051DF5" w:rsidTr="006121BD">
        <w:tc>
          <w:tcPr>
            <w:tcW w:w="3176" w:type="pct"/>
            <w:shd w:val="clear" w:color="auto" w:fill="FFD5D5"/>
          </w:tcPr>
          <w:p w:rsidR="003E0075" w:rsidRPr="007636E2" w:rsidRDefault="007636E2" w:rsidP="00790985">
            <w:pPr>
              <w:rPr>
                <w:b/>
              </w:rPr>
            </w:pPr>
            <w:r>
              <w:rPr>
                <w:b/>
              </w:rPr>
              <w:t>Collection, Analysis and Distribution of Data</w:t>
            </w:r>
          </w:p>
        </w:tc>
        <w:tc>
          <w:tcPr>
            <w:tcW w:w="372" w:type="pct"/>
            <w:shd w:val="clear" w:color="auto" w:fill="F2DBDB" w:themeFill="accent2" w:themeFillTint="33"/>
          </w:tcPr>
          <w:p w:rsidR="003E0075" w:rsidRPr="00790985" w:rsidRDefault="003E0075" w:rsidP="00790985">
            <w:pPr>
              <w:jc w:val="center"/>
            </w:pPr>
          </w:p>
        </w:tc>
        <w:tc>
          <w:tcPr>
            <w:tcW w:w="371" w:type="pct"/>
            <w:shd w:val="clear" w:color="auto" w:fill="F2DBDB" w:themeFill="accent2" w:themeFillTint="33"/>
          </w:tcPr>
          <w:p w:rsidR="003E0075" w:rsidRPr="00790985" w:rsidRDefault="003E0075" w:rsidP="00790985">
            <w:pPr>
              <w:jc w:val="center"/>
            </w:pPr>
          </w:p>
        </w:tc>
        <w:tc>
          <w:tcPr>
            <w:tcW w:w="371" w:type="pct"/>
            <w:shd w:val="clear" w:color="auto" w:fill="F2DBDB" w:themeFill="accent2" w:themeFillTint="33"/>
          </w:tcPr>
          <w:p w:rsidR="003E0075" w:rsidRPr="00790985" w:rsidRDefault="003E0075" w:rsidP="00790985">
            <w:pPr>
              <w:jc w:val="center"/>
            </w:pPr>
          </w:p>
        </w:tc>
        <w:tc>
          <w:tcPr>
            <w:tcW w:w="363" w:type="pct"/>
            <w:shd w:val="clear" w:color="auto" w:fill="F2DBDB" w:themeFill="accent2" w:themeFillTint="33"/>
          </w:tcPr>
          <w:p w:rsidR="003E0075" w:rsidRPr="00790985" w:rsidRDefault="003E0075" w:rsidP="00790985">
            <w:pPr>
              <w:jc w:val="center"/>
            </w:pPr>
          </w:p>
        </w:tc>
        <w:tc>
          <w:tcPr>
            <w:tcW w:w="347" w:type="pct"/>
            <w:shd w:val="clear" w:color="auto" w:fill="F2DBDB" w:themeFill="accent2" w:themeFillTint="33"/>
          </w:tcPr>
          <w:p w:rsidR="003E0075" w:rsidRPr="00790985" w:rsidRDefault="003E0075" w:rsidP="00790985">
            <w:pPr>
              <w:jc w:val="center"/>
            </w:pPr>
          </w:p>
        </w:tc>
      </w:tr>
      <w:tr w:rsidR="003E0075" w:rsidRPr="00051DF5" w:rsidTr="006121BD">
        <w:tc>
          <w:tcPr>
            <w:tcW w:w="3176" w:type="pct"/>
            <w:shd w:val="clear" w:color="auto" w:fill="FFD5D5"/>
          </w:tcPr>
          <w:p w:rsidR="003E0075" w:rsidRPr="00790985" w:rsidRDefault="007636E2" w:rsidP="003E0075">
            <w:r>
              <w:t>BloodNet Fate module national implementation</w:t>
            </w:r>
          </w:p>
        </w:tc>
        <w:tc>
          <w:tcPr>
            <w:tcW w:w="372" w:type="pct"/>
            <w:shd w:val="clear" w:color="auto" w:fill="92CDDC"/>
          </w:tcPr>
          <w:p w:rsidR="003E0075" w:rsidRPr="00790985" w:rsidRDefault="003E0075" w:rsidP="00790985">
            <w:pPr>
              <w:jc w:val="center"/>
            </w:pPr>
          </w:p>
        </w:tc>
        <w:tc>
          <w:tcPr>
            <w:tcW w:w="371" w:type="pct"/>
          </w:tcPr>
          <w:p w:rsidR="003E0075" w:rsidRPr="00790985" w:rsidRDefault="003E0075" w:rsidP="00790985">
            <w:pPr>
              <w:jc w:val="center"/>
            </w:pPr>
          </w:p>
        </w:tc>
        <w:tc>
          <w:tcPr>
            <w:tcW w:w="371" w:type="pct"/>
          </w:tcPr>
          <w:p w:rsidR="003E0075" w:rsidRPr="00790985" w:rsidRDefault="003E0075" w:rsidP="00790985">
            <w:pPr>
              <w:jc w:val="center"/>
            </w:pPr>
          </w:p>
        </w:tc>
        <w:tc>
          <w:tcPr>
            <w:tcW w:w="363" w:type="pct"/>
          </w:tcPr>
          <w:p w:rsidR="003E0075" w:rsidRPr="00790985" w:rsidRDefault="003E0075" w:rsidP="00790985">
            <w:pPr>
              <w:jc w:val="center"/>
            </w:pPr>
          </w:p>
        </w:tc>
        <w:tc>
          <w:tcPr>
            <w:tcW w:w="347" w:type="pct"/>
          </w:tcPr>
          <w:p w:rsidR="003E0075" w:rsidRPr="00790985" w:rsidRDefault="003E0075" w:rsidP="00790985">
            <w:pPr>
              <w:jc w:val="center"/>
            </w:pPr>
          </w:p>
        </w:tc>
      </w:tr>
      <w:tr w:rsidR="00AB7741" w:rsidRPr="00051DF5" w:rsidTr="006121BD">
        <w:tc>
          <w:tcPr>
            <w:tcW w:w="3176" w:type="pct"/>
            <w:shd w:val="clear" w:color="auto" w:fill="FFD5D5"/>
          </w:tcPr>
          <w:p w:rsidR="00AB7741" w:rsidRDefault="00AB7741" w:rsidP="00765C2E">
            <w:r>
              <w:t>Further detailed discard analysis</w:t>
            </w:r>
          </w:p>
        </w:tc>
        <w:tc>
          <w:tcPr>
            <w:tcW w:w="372" w:type="pct"/>
            <w:shd w:val="clear" w:color="auto" w:fill="92CDDC"/>
          </w:tcPr>
          <w:p w:rsidR="00AB7741" w:rsidRPr="00790985" w:rsidRDefault="00AB7741" w:rsidP="00790985">
            <w:pPr>
              <w:jc w:val="center"/>
            </w:pPr>
          </w:p>
        </w:tc>
        <w:tc>
          <w:tcPr>
            <w:tcW w:w="371" w:type="pct"/>
          </w:tcPr>
          <w:p w:rsidR="00AB7741" w:rsidRPr="00790985" w:rsidRDefault="00AB7741" w:rsidP="00790985">
            <w:pPr>
              <w:jc w:val="center"/>
            </w:pPr>
          </w:p>
        </w:tc>
        <w:tc>
          <w:tcPr>
            <w:tcW w:w="371" w:type="pct"/>
          </w:tcPr>
          <w:p w:rsidR="00AB7741" w:rsidRPr="00790985" w:rsidRDefault="00AB7741" w:rsidP="00790985">
            <w:pPr>
              <w:jc w:val="center"/>
            </w:pPr>
          </w:p>
        </w:tc>
        <w:tc>
          <w:tcPr>
            <w:tcW w:w="363" w:type="pct"/>
          </w:tcPr>
          <w:p w:rsidR="00AB7741" w:rsidRPr="00790985" w:rsidRDefault="00AB7741" w:rsidP="00790985">
            <w:pPr>
              <w:jc w:val="center"/>
            </w:pPr>
          </w:p>
        </w:tc>
        <w:tc>
          <w:tcPr>
            <w:tcW w:w="347" w:type="pct"/>
          </w:tcPr>
          <w:p w:rsidR="00AB7741" w:rsidRPr="00790985" w:rsidRDefault="00AB7741" w:rsidP="00790985">
            <w:pPr>
              <w:jc w:val="center"/>
            </w:pPr>
          </w:p>
        </w:tc>
      </w:tr>
      <w:tr w:rsidR="00790985" w:rsidRPr="00051DF5" w:rsidTr="006121BD">
        <w:tc>
          <w:tcPr>
            <w:tcW w:w="3176" w:type="pct"/>
            <w:shd w:val="clear" w:color="auto" w:fill="FFD5D5"/>
          </w:tcPr>
          <w:p w:rsidR="00790985" w:rsidRPr="00790985" w:rsidRDefault="007636E2" w:rsidP="00765C2E">
            <w:r>
              <w:t>Enhanced BloodNet reporting</w:t>
            </w:r>
          </w:p>
        </w:tc>
        <w:tc>
          <w:tcPr>
            <w:tcW w:w="372" w:type="pct"/>
            <w:shd w:val="clear" w:color="auto" w:fill="92CDDC"/>
          </w:tcPr>
          <w:p w:rsidR="00790985" w:rsidRPr="00790985" w:rsidRDefault="00790985" w:rsidP="00790985">
            <w:pPr>
              <w:jc w:val="center"/>
            </w:pPr>
          </w:p>
        </w:tc>
        <w:tc>
          <w:tcPr>
            <w:tcW w:w="371" w:type="pct"/>
          </w:tcPr>
          <w:p w:rsidR="00790985" w:rsidRPr="00790985" w:rsidRDefault="00790985" w:rsidP="00790985">
            <w:pPr>
              <w:jc w:val="center"/>
            </w:pPr>
          </w:p>
        </w:tc>
        <w:tc>
          <w:tcPr>
            <w:tcW w:w="371" w:type="pct"/>
          </w:tcPr>
          <w:p w:rsidR="00790985" w:rsidRPr="00790985" w:rsidRDefault="00790985" w:rsidP="00790985">
            <w:pPr>
              <w:jc w:val="center"/>
            </w:pPr>
          </w:p>
        </w:tc>
        <w:tc>
          <w:tcPr>
            <w:tcW w:w="363" w:type="pct"/>
          </w:tcPr>
          <w:p w:rsidR="00790985" w:rsidRPr="00790985" w:rsidRDefault="00790985" w:rsidP="00790985">
            <w:pPr>
              <w:jc w:val="center"/>
            </w:pPr>
          </w:p>
        </w:tc>
        <w:tc>
          <w:tcPr>
            <w:tcW w:w="347" w:type="pct"/>
          </w:tcPr>
          <w:p w:rsidR="00790985" w:rsidRPr="00790985" w:rsidRDefault="00790985" w:rsidP="00790985">
            <w:pPr>
              <w:jc w:val="center"/>
            </w:pPr>
          </w:p>
        </w:tc>
      </w:tr>
      <w:tr w:rsidR="00790985" w:rsidRPr="00051DF5" w:rsidTr="006121BD">
        <w:tc>
          <w:tcPr>
            <w:tcW w:w="3176" w:type="pct"/>
            <w:shd w:val="clear" w:color="auto" w:fill="FFD5D5"/>
          </w:tcPr>
          <w:p w:rsidR="00790985" w:rsidRPr="007636E2" w:rsidRDefault="007636E2" w:rsidP="007636E2">
            <w:r w:rsidRPr="007636E2">
              <w:t xml:space="preserve">Publication of high </w:t>
            </w:r>
            <w:r>
              <w:t>level discard data</w:t>
            </w:r>
          </w:p>
        </w:tc>
        <w:tc>
          <w:tcPr>
            <w:tcW w:w="372" w:type="pct"/>
          </w:tcPr>
          <w:p w:rsidR="00790985" w:rsidRPr="00051DF5" w:rsidRDefault="00790985" w:rsidP="00790985">
            <w:pPr>
              <w:rPr>
                <w:rFonts w:asciiTheme="majorHAnsi" w:hAnsiTheme="majorHAnsi"/>
                <w:sz w:val="24"/>
                <w:szCs w:val="24"/>
              </w:rPr>
            </w:pPr>
          </w:p>
        </w:tc>
        <w:tc>
          <w:tcPr>
            <w:tcW w:w="371" w:type="pct"/>
          </w:tcPr>
          <w:p w:rsidR="00790985" w:rsidRPr="00051DF5" w:rsidRDefault="00790985" w:rsidP="00790985">
            <w:pPr>
              <w:rPr>
                <w:rFonts w:asciiTheme="majorHAnsi" w:hAnsiTheme="majorHAnsi"/>
                <w:sz w:val="24"/>
                <w:szCs w:val="24"/>
              </w:rPr>
            </w:pPr>
          </w:p>
        </w:tc>
        <w:tc>
          <w:tcPr>
            <w:tcW w:w="371" w:type="pct"/>
            <w:shd w:val="clear" w:color="auto" w:fill="92CDDC"/>
          </w:tcPr>
          <w:p w:rsidR="00790985" w:rsidRPr="00051DF5" w:rsidRDefault="00790985" w:rsidP="00790985">
            <w:pPr>
              <w:rPr>
                <w:rFonts w:asciiTheme="majorHAnsi" w:hAnsiTheme="majorHAnsi"/>
                <w:sz w:val="24"/>
                <w:szCs w:val="24"/>
              </w:rPr>
            </w:pPr>
          </w:p>
        </w:tc>
        <w:tc>
          <w:tcPr>
            <w:tcW w:w="363" w:type="pct"/>
            <w:shd w:val="clear" w:color="auto" w:fill="92CDDC"/>
          </w:tcPr>
          <w:p w:rsidR="00790985" w:rsidRPr="00051DF5" w:rsidRDefault="00790985" w:rsidP="00790985">
            <w:pPr>
              <w:rPr>
                <w:rFonts w:asciiTheme="majorHAnsi" w:hAnsiTheme="majorHAnsi"/>
                <w:sz w:val="24"/>
                <w:szCs w:val="24"/>
              </w:rPr>
            </w:pPr>
          </w:p>
        </w:tc>
        <w:tc>
          <w:tcPr>
            <w:tcW w:w="347" w:type="pct"/>
            <w:shd w:val="clear" w:color="auto" w:fill="92CDDC"/>
          </w:tcPr>
          <w:p w:rsidR="00790985" w:rsidRPr="00051DF5" w:rsidRDefault="00790985" w:rsidP="00790985">
            <w:pPr>
              <w:rPr>
                <w:rFonts w:asciiTheme="majorHAnsi" w:hAnsiTheme="majorHAnsi"/>
                <w:sz w:val="24"/>
                <w:szCs w:val="24"/>
              </w:rPr>
            </w:pPr>
          </w:p>
        </w:tc>
      </w:tr>
      <w:tr w:rsidR="007636E2" w:rsidRPr="00051DF5" w:rsidTr="006121BD">
        <w:tc>
          <w:tcPr>
            <w:tcW w:w="3176" w:type="pct"/>
            <w:shd w:val="clear" w:color="auto" w:fill="FFD5D5"/>
          </w:tcPr>
          <w:p w:rsidR="007636E2" w:rsidRPr="007636E2" w:rsidRDefault="007636E2" w:rsidP="00E24657">
            <w:pPr>
              <w:rPr>
                <w:b/>
              </w:rPr>
            </w:pPr>
            <w:r>
              <w:rPr>
                <w:b/>
              </w:rPr>
              <w:t xml:space="preserve">Establish </w:t>
            </w:r>
            <w:r w:rsidR="00E24657">
              <w:rPr>
                <w:b/>
              </w:rPr>
              <w:t>Targets</w:t>
            </w:r>
            <w:r>
              <w:rPr>
                <w:b/>
              </w:rPr>
              <w:t xml:space="preserve"> for Discard Rates</w:t>
            </w:r>
          </w:p>
        </w:tc>
        <w:tc>
          <w:tcPr>
            <w:tcW w:w="372" w:type="pct"/>
            <w:shd w:val="clear" w:color="auto" w:fill="F2DBDB" w:themeFill="accent2" w:themeFillTint="33"/>
          </w:tcPr>
          <w:p w:rsidR="007636E2" w:rsidRPr="00051DF5" w:rsidRDefault="007636E2" w:rsidP="00790985">
            <w:pPr>
              <w:rPr>
                <w:rFonts w:asciiTheme="majorHAnsi" w:hAnsiTheme="majorHAnsi"/>
                <w:sz w:val="24"/>
                <w:szCs w:val="24"/>
              </w:rPr>
            </w:pPr>
          </w:p>
        </w:tc>
        <w:tc>
          <w:tcPr>
            <w:tcW w:w="371" w:type="pct"/>
            <w:shd w:val="clear" w:color="auto" w:fill="F2DBDB" w:themeFill="accent2" w:themeFillTint="33"/>
          </w:tcPr>
          <w:p w:rsidR="007636E2" w:rsidRPr="00051DF5" w:rsidRDefault="007636E2" w:rsidP="00790985">
            <w:pPr>
              <w:rPr>
                <w:rFonts w:asciiTheme="majorHAnsi" w:hAnsiTheme="majorHAnsi"/>
                <w:sz w:val="24"/>
                <w:szCs w:val="24"/>
              </w:rPr>
            </w:pPr>
          </w:p>
        </w:tc>
        <w:tc>
          <w:tcPr>
            <w:tcW w:w="371" w:type="pct"/>
            <w:shd w:val="clear" w:color="auto" w:fill="F2DBDB" w:themeFill="accent2" w:themeFillTint="33"/>
          </w:tcPr>
          <w:p w:rsidR="007636E2" w:rsidRPr="00051DF5" w:rsidRDefault="007636E2" w:rsidP="00790985">
            <w:pPr>
              <w:rPr>
                <w:rFonts w:asciiTheme="majorHAnsi" w:hAnsiTheme="majorHAnsi"/>
                <w:sz w:val="24"/>
                <w:szCs w:val="24"/>
              </w:rPr>
            </w:pPr>
          </w:p>
        </w:tc>
        <w:tc>
          <w:tcPr>
            <w:tcW w:w="363" w:type="pct"/>
            <w:shd w:val="clear" w:color="auto" w:fill="F2DBDB" w:themeFill="accent2" w:themeFillTint="33"/>
          </w:tcPr>
          <w:p w:rsidR="007636E2" w:rsidRPr="00051DF5" w:rsidRDefault="007636E2" w:rsidP="00790985">
            <w:pPr>
              <w:rPr>
                <w:rFonts w:asciiTheme="majorHAnsi" w:hAnsiTheme="majorHAnsi"/>
                <w:sz w:val="24"/>
                <w:szCs w:val="24"/>
              </w:rPr>
            </w:pPr>
          </w:p>
        </w:tc>
        <w:tc>
          <w:tcPr>
            <w:tcW w:w="347" w:type="pct"/>
            <w:shd w:val="clear" w:color="auto" w:fill="F2DBDB" w:themeFill="accent2" w:themeFillTint="33"/>
          </w:tcPr>
          <w:p w:rsidR="007636E2" w:rsidRPr="00051DF5" w:rsidRDefault="007636E2" w:rsidP="00790985">
            <w:pPr>
              <w:rPr>
                <w:rFonts w:asciiTheme="majorHAnsi" w:hAnsiTheme="majorHAnsi"/>
                <w:sz w:val="24"/>
                <w:szCs w:val="24"/>
              </w:rPr>
            </w:pPr>
          </w:p>
        </w:tc>
      </w:tr>
      <w:tr w:rsidR="007636E2" w:rsidRPr="00051DF5" w:rsidTr="006121BD">
        <w:tc>
          <w:tcPr>
            <w:tcW w:w="3176" w:type="pct"/>
            <w:shd w:val="clear" w:color="auto" w:fill="FFD5D5"/>
          </w:tcPr>
          <w:p w:rsidR="007636E2" w:rsidRPr="00AB7741" w:rsidRDefault="00AB7741" w:rsidP="00E24657">
            <w:r>
              <w:t xml:space="preserve">Shadow </w:t>
            </w:r>
            <w:r w:rsidR="00E24657">
              <w:t xml:space="preserve">targets </w:t>
            </w:r>
            <w:r>
              <w:t xml:space="preserve">for red blood cells, platelets and </w:t>
            </w:r>
            <w:proofErr w:type="spellStart"/>
            <w:r w:rsidR="00E24657">
              <w:t>C</w:t>
            </w:r>
            <w:r>
              <w:t>FFP</w:t>
            </w:r>
            <w:proofErr w:type="spellEnd"/>
          </w:p>
        </w:tc>
        <w:tc>
          <w:tcPr>
            <w:tcW w:w="372" w:type="pct"/>
            <w:shd w:val="clear" w:color="auto" w:fill="92CDDC"/>
          </w:tcPr>
          <w:p w:rsidR="007636E2" w:rsidRPr="00051DF5" w:rsidRDefault="007636E2" w:rsidP="00790985">
            <w:pPr>
              <w:rPr>
                <w:rFonts w:asciiTheme="majorHAnsi" w:hAnsiTheme="majorHAnsi"/>
                <w:sz w:val="24"/>
                <w:szCs w:val="24"/>
              </w:rPr>
            </w:pPr>
          </w:p>
        </w:tc>
        <w:tc>
          <w:tcPr>
            <w:tcW w:w="371" w:type="pct"/>
            <w:shd w:val="clear" w:color="auto" w:fill="92CDDC"/>
          </w:tcPr>
          <w:p w:rsidR="007636E2" w:rsidRPr="00051DF5" w:rsidRDefault="007636E2" w:rsidP="00790985">
            <w:pPr>
              <w:rPr>
                <w:rFonts w:asciiTheme="majorHAnsi" w:hAnsiTheme="majorHAnsi"/>
                <w:sz w:val="24"/>
                <w:szCs w:val="24"/>
              </w:rPr>
            </w:pPr>
          </w:p>
        </w:tc>
        <w:tc>
          <w:tcPr>
            <w:tcW w:w="371" w:type="pct"/>
          </w:tcPr>
          <w:p w:rsidR="007636E2" w:rsidRPr="00051DF5" w:rsidRDefault="007636E2" w:rsidP="00790985">
            <w:pPr>
              <w:rPr>
                <w:rFonts w:asciiTheme="majorHAnsi" w:hAnsiTheme="majorHAnsi"/>
                <w:sz w:val="24"/>
                <w:szCs w:val="24"/>
              </w:rPr>
            </w:pPr>
          </w:p>
        </w:tc>
        <w:tc>
          <w:tcPr>
            <w:tcW w:w="363" w:type="pct"/>
          </w:tcPr>
          <w:p w:rsidR="007636E2" w:rsidRPr="00051DF5" w:rsidRDefault="007636E2" w:rsidP="00790985">
            <w:pPr>
              <w:rPr>
                <w:rFonts w:asciiTheme="majorHAnsi" w:hAnsiTheme="majorHAnsi"/>
                <w:sz w:val="24"/>
                <w:szCs w:val="24"/>
              </w:rPr>
            </w:pPr>
          </w:p>
        </w:tc>
        <w:tc>
          <w:tcPr>
            <w:tcW w:w="347" w:type="pct"/>
          </w:tcPr>
          <w:p w:rsidR="007636E2" w:rsidRPr="00051DF5" w:rsidRDefault="007636E2" w:rsidP="00790985">
            <w:pPr>
              <w:rPr>
                <w:rFonts w:asciiTheme="majorHAnsi" w:hAnsiTheme="majorHAnsi"/>
                <w:sz w:val="24"/>
                <w:szCs w:val="24"/>
              </w:rPr>
            </w:pPr>
          </w:p>
        </w:tc>
      </w:tr>
      <w:tr w:rsidR="00AB7741" w:rsidRPr="00051DF5" w:rsidTr="006121BD">
        <w:tc>
          <w:tcPr>
            <w:tcW w:w="3176" w:type="pct"/>
            <w:shd w:val="clear" w:color="auto" w:fill="FFD5D5"/>
          </w:tcPr>
          <w:p w:rsidR="00AB7741" w:rsidRDefault="00E24657" w:rsidP="00E24657">
            <w:r>
              <w:t>Targets</w:t>
            </w:r>
            <w:r w:rsidR="00AB7741">
              <w:t xml:space="preserve"> for red blood cells, platelets and </w:t>
            </w:r>
            <w:proofErr w:type="spellStart"/>
            <w:r w:rsidR="00656700">
              <w:t>C</w:t>
            </w:r>
            <w:r w:rsidR="00AB7741">
              <w:t>FFP</w:t>
            </w:r>
            <w:proofErr w:type="spellEnd"/>
          </w:p>
        </w:tc>
        <w:tc>
          <w:tcPr>
            <w:tcW w:w="372" w:type="pct"/>
          </w:tcPr>
          <w:p w:rsidR="00AB7741" w:rsidRPr="00051DF5" w:rsidRDefault="00AB7741" w:rsidP="00790985">
            <w:pPr>
              <w:rPr>
                <w:rFonts w:asciiTheme="majorHAnsi" w:hAnsiTheme="majorHAnsi"/>
                <w:sz w:val="24"/>
                <w:szCs w:val="24"/>
              </w:rPr>
            </w:pPr>
          </w:p>
        </w:tc>
        <w:tc>
          <w:tcPr>
            <w:tcW w:w="371" w:type="pct"/>
            <w:shd w:val="clear" w:color="auto" w:fill="92CDDC"/>
          </w:tcPr>
          <w:p w:rsidR="00AB7741" w:rsidRPr="00051DF5" w:rsidRDefault="00AB7741" w:rsidP="00790985">
            <w:pPr>
              <w:rPr>
                <w:rFonts w:asciiTheme="majorHAnsi" w:hAnsiTheme="majorHAnsi"/>
                <w:sz w:val="24"/>
                <w:szCs w:val="24"/>
              </w:rPr>
            </w:pPr>
          </w:p>
        </w:tc>
        <w:tc>
          <w:tcPr>
            <w:tcW w:w="371" w:type="pct"/>
            <w:shd w:val="clear" w:color="auto" w:fill="92CDDC"/>
          </w:tcPr>
          <w:p w:rsidR="00AB7741" w:rsidRPr="00051DF5" w:rsidRDefault="00AB7741" w:rsidP="00790985">
            <w:pPr>
              <w:rPr>
                <w:rFonts w:asciiTheme="majorHAnsi" w:hAnsiTheme="majorHAnsi"/>
                <w:sz w:val="24"/>
                <w:szCs w:val="24"/>
              </w:rPr>
            </w:pPr>
          </w:p>
        </w:tc>
        <w:tc>
          <w:tcPr>
            <w:tcW w:w="363" w:type="pct"/>
            <w:shd w:val="clear" w:color="auto" w:fill="92CDDC"/>
          </w:tcPr>
          <w:p w:rsidR="00AB7741" w:rsidRPr="00051DF5" w:rsidRDefault="00AB7741" w:rsidP="00790985">
            <w:pPr>
              <w:rPr>
                <w:rFonts w:asciiTheme="majorHAnsi" w:hAnsiTheme="majorHAnsi"/>
                <w:sz w:val="24"/>
                <w:szCs w:val="24"/>
              </w:rPr>
            </w:pPr>
          </w:p>
        </w:tc>
        <w:tc>
          <w:tcPr>
            <w:tcW w:w="347" w:type="pct"/>
            <w:shd w:val="clear" w:color="auto" w:fill="92CDDC"/>
          </w:tcPr>
          <w:p w:rsidR="00AB7741" w:rsidRPr="00051DF5" w:rsidRDefault="00AB7741" w:rsidP="00790985">
            <w:pPr>
              <w:rPr>
                <w:rFonts w:asciiTheme="majorHAnsi" w:hAnsiTheme="majorHAnsi"/>
                <w:sz w:val="24"/>
                <w:szCs w:val="24"/>
              </w:rPr>
            </w:pPr>
          </w:p>
        </w:tc>
      </w:tr>
      <w:tr w:rsidR="00AB7741" w:rsidRPr="00051DF5" w:rsidTr="006121BD">
        <w:tc>
          <w:tcPr>
            <w:tcW w:w="3176" w:type="pct"/>
            <w:shd w:val="clear" w:color="auto" w:fill="FFD5D5"/>
          </w:tcPr>
          <w:p w:rsidR="00AB7741" w:rsidRDefault="00AB7741" w:rsidP="00EF1C2D">
            <w:r>
              <w:t xml:space="preserve">Shadow </w:t>
            </w:r>
            <w:r w:rsidR="00E24657">
              <w:t>targets</w:t>
            </w:r>
            <w:r>
              <w:t xml:space="preserve"> for </w:t>
            </w:r>
            <w:r w:rsidR="00EF1C2D">
              <w:t>non-fresh</w:t>
            </w:r>
            <w:r>
              <w:t xml:space="preserve"> products</w:t>
            </w:r>
          </w:p>
        </w:tc>
        <w:tc>
          <w:tcPr>
            <w:tcW w:w="372" w:type="pct"/>
          </w:tcPr>
          <w:p w:rsidR="00AB7741" w:rsidRPr="00051DF5" w:rsidRDefault="00AB7741" w:rsidP="00790985">
            <w:pPr>
              <w:rPr>
                <w:rFonts w:asciiTheme="majorHAnsi" w:hAnsiTheme="majorHAnsi"/>
                <w:sz w:val="24"/>
                <w:szCs w:val="24"/>
              </w:rPr>
            </w:pPr>
          </w:p>
        </w:tc>
        <w:tc>
          <w:tcPr>
            <w:tcW w:w="371" w:type="pct"/>
          </w:tcPr>
          <w:p w:rsidR="00AB7741" w:rsidRPr="00051DF5" w:rsidRDefault="00AB7741" w:rsidP="00790985">
            <w:pPr>
              <w:rPr>
                <w:rFonts w:asciiTheme="majorHAnsi" w:hAnsiTheme="majorHAnsi"/>
                <w:sz w:val="24"/>
                <w:szCs w:val="24"/>
              </w:rPr>
            </w:pPr>
          </w:p>
        </w:tc>
        <w:tc>
          <w:tcPr>
            <w:tcW w:w="371" w:type="pct"/>
            <w:shd w:val="clear" w:color="auto" w:fill="92CDDC"/>
          </w:tcPr>
          <w:p w:rsidR="00AB7741" w:rsidRPr="00051DF5" w:rsidRDefault="00AB7741" w:rsidP="00790985">
            <w:pPr>
              <w:rPr>
                <w:rFonts w:asciiTheme="majorHAnsi" w:hAnsiTheme="majorHAnsi"/>
                <w:sz w:val="24"/>
                <w:szCs w:val="24"/>
              </w:rPr>
            </w:pPr>
          </w:p>
        </w:tc>
        <w:tc>
          <w:tcPr>
            <w:tcW w:w="363" w:type="pct"/>
          </w:tcPr>
          <w:p w:rsidR="00AB7741" w:rsidRPr="00051DF5" w:rsidRDefault="00AB7741" w:rsidP="00790985">
            <w:pPr>
              <w:rPr>
                <w:rFonts w:asciiTheme="majorHAnsi" w:hAnsiTheme="majorHAnsi"/>
                <w:sz w:val="24"/>
                <w:szCs w:val="24"/>
              </w:rPr>
            </w:pPr>
          </w:p>
        </w:tc>
        <w:tc>
          <w:tcPr>
            <w:tcW w:w="347" w:type="pct"/>
          </w:tcPr>
          <w:p w:rsidR="00AB7741" w:rsidRPr="00051DF5" w:rsidRDefault="00AB7741" w:rsidP="00790985">
            <w:pPr>
              <w:rPr>
                <w:rFonts w:asciiTheme="majorHAnsi" w:hAnsiTheme="majorHAnsi"/>
                <w:sz w:val="24"/>
                <w:szCs w:val="24"/>
              </w:rPr>
            </w:pPr>
          </w:p>
        </w:tc>
      </w:tr>
      <w:tr w:rsidR="00AB7741" w:rsidRPr="00051DF5" w:rsidTr="006121BD">
        <w:tc>
          <w:tcPr>
            <w:tcW w:w="3176" w:type="pct"/>
            <w:shd w:val="clear" w:color="auto" w:fill="FFD5D5"/>
          </w:tcPr>
          <w:p w:rsidR="00AB7741" w:rsidRDefault="00E24657" w:rsidP="00EF1C2D">
            <w:r>
              <w:t xml:space="preserve">Targets </w:t>
            </w:r>
            <w:r w:rsidR="00AB7741">
              <w:t xml:space="preserve">for </w:t>
            </w:r>
            <w:r w:rsidR="00EF1C2D">
              <w:t>non-fresh</w:t>
            </w:r>
            <w:r w:rsidR="00AB7741">
              <w:t xml:space="preserve"> products</w:t>
            </w:r>
          </w:p>
        </w:tc>
        <w:tc>
          <w:tcPr>
            <w:tcW w:w="372" w:type="pct"/>
          </w:tcPr>
          <w:p w:rsidR="00AB7741" w:rsidRPr="00051DF5" w:rsidRDefault="00AB7741" w:rsidP="00790985">
            <w:pPr>
              <w:rPr>
                <w:rFonts w:asciiTheme="majorHAnsi" w:hAnsiTheme="majorHAnsi"/>
                <w:sz w:val="24"/>
                <w:szCs w:val="24"/>
              </w:rPr>
            </w:pPr>
          </w:p>
        </w:tc>
        <w:tc>
          <w:tcPr>
            <w:tcW w:w="371" w:type="pct"/>
          </w:tcPr>
          <w:p w:rsidR="00AB7741" w:rsidRPr="00051DF5" w:rsidRDefault="00AB7741" w:rsidP="00790985">
            <w:pPr>
              <w:rPr>
                <w:rFonts w:asciiTheme="majorHAnsi" w:hAnsiTheme="majorHAnsi"/>
                <w:sz w:val="24"/>
                <w:szCs w:val="24"/>
              </w:rPr>
            </w:pPr>
          </w:p>
        </w:tc>
        <w:tc>
          <w:tcPr>
            <w:tcW w:w="371" w:type="pct"/>
          </w:tcPr>
          <w:p w:rsidR="00AB7741" w:rsidRPr="00051DF5" w:rsidRDefault="00AB7741" w:rsidP="00790985">
            <w:pPr>
              <w:rPr>
                <w:rFonts w:asciiTheme="majorHAnsi" w:hAnsiTheme="majorHAnsi"/>
                <w:sz w:val="24"/>
                <w:szCs w:val="24"/>
              </w:rPr>
            </w:pPr>
          </w:p>
        </w:tc>
        <w:tc>
          <w:tcPr>
            <w:tcW w:w="363" w:type="pct"/>
            <w:shd w:val="clear" w:color="auto" w:fill="92CDDC"/>
          </w:tcPr>
          <w:p w:rsidR="00AB7741" w:rsidRPr="00051DF5" w:rsidRDefault="00AB7741" w:rsidP="00790985">
            <w:pPr>
              <w:rPr>
                <w:rFonts w:asciiTheme="majorHAnsi" w:hAnsiTheme="majorHAnsi"/>
                <w:sz w:val="24"/>
                <w:szCs w:val="24"/>
              </w:rPr>
            </w:pPr>
          </w:p>
        </w:tc>
        <w:tc>
          <w:tcPr>
            <w:tcW w:w="347" w:type="pct"/>
            <w:shd w:val="clear" w:color="auto" w:fill="92CDDC"/>
          </w:tcPr>
          <w:p w:rsidR="00AB7741" w:rsidRPr="00051DF5" w:rsidRDefault="00AB7741" w:rsidP="00790985">
            <w:pPr>
              <w:rPr>
                <w:rFonts w:asciiTheme="majorHAnsi" w:hAnsiTheme="majorHAnsi"/>
                <w:sz w:val="24"/>
                <w:szCs w:val="24"/>
              </w:rPr>
            </w:pPr>
          </w:p>
        </w:tc>
      </w:tr>
      <w:tr w:rsidR="006121BD" w:rsidRPr="00051DF5" w:rsidTr="006121BD">
        <w:tc>
          <w:tcPr>
            <w:tcW w:w="3176" w:type="pct"/>
            <w:shd w:val="clear" w:color="auto" w:fill="FFD5D5"/>
          </w:tcPr>
          <w:p w:rsidR="006121BD" w:rsidRPr="006121BD" w:rsidRDefault="006121BD" w:rsidP="007636E2">
            <w:pPr>
              <w:rPr>
                <w:b/>
              </w:rPr>
            </w:pPr>
            <w:r>
              <w:rPr>
                <w:b/>
              </w:rPr>
              <w:t>Better Practice Inventory Management</w:t>
            </w:r>
          </w:p>
        </w:tc>
        <w:tc>
          <w:tcPr>
            <w:tcW w:w="372" w:type="pct"/>
            <w:shd w:val="clear" w:color="auto" w:fill="F2DBDB" w:themeFill="accent2" w:themeFillTint="33"/>
          </w:tcPr>
          <w:p w:rsidR="006121BD" w:rsidRPr="00051DF5" w:rsidRDefault="006121BD" w:rsidP="00790985">
            <w:pPr>
              <w:rPr>
                <w:rFonts w:asciiTheme="majorHAnsi" w:hAnsiTheme="majorHAnsi"/>
                <w:sz w:val="24"/>
                <w:szCs w:val="24"/>
              </w:rPr>
            </w:pPr>
          </w:p>
        </w:tc>
        <w:tc>
          <w:tcPr>
            <w:tcW w:w="371" w:type="pct"/>
            <w:shd w:val="clear" w:color="auto" w:fill="F2DBDB" w:themeFill="accent2" w:themeFillTint="33"/>
          </w:tcPr>
          <w:p w:rsidR="006121BD" w:rsidRPr="00051DF5" w:rsidRDefault="006121BD" w:rsidP="00790985">
            <w:pPr>
              <w:rPr>
                <w:rFonts w:asciiTheme="majorHAnsi" w:hAnsiTheme="majorHAnsi"/>
                <w:sz w:val="24"/>
                <w:szCs w:val="24"/>
              </w:rPr>
            </w:pPr>
          </w:p>
        </w:tc>
        <w:tc>
          <w:tcPr>
            <w:tcW w:w="371" w:type="pct"/>
            <w:shd w:val="clear" w:color="auto" w:fill="F2DBDB" w:themeFill="accent2" w:themeFillTint="33"/>
          </w:tcPr>
          <w:p w:rsidR="006121BD" w:rsidRPr="00051DF5" w:rsidRDefault="006121BD" w:rsidP="00790985">
            <w:pPr>
              <w:rPr>
                <w:rFonts w:asciiTheme="majorHAnsi" w:hAnsiTheme="majorHAnsi"/>
                <w:sz w:val="24"/>
                <w:szCs w:val="24"/>
              </w:rPr>
            </w:pPr>
          </w:p>
        </w:tc>
        <w:tc>
          <w:tcPr>
            <w:tcW w:w="363" w:type="pct"/>
            <w:shd w:val="clear" w:color="auto" w:fill="F2DBDB" w:themeFill="accent2" w:themeFillTint="33"/>
          </w:tcPr>
          <w:p w:rsidR="006121BD" w:rsidRPr="00051DF5" w:rsidRDefault="006121BD" w:rsidP="00790985">
            <w:pPr>
              <w:rPr>
                <w:rFonts w:asciiTheme="majorHAnsi" w:hAnsiTheme="majorHAnsi"/>
                <w:sz w:val="24"/>
                <w:szCs w:val="24"/>
              </w:rPr>
            </w:pPr>
          </w:p>
        </w:tc>
        <w:tc>
          <w:tcPr>
            <w:tcW w:w="347" w:type="pct"/>
            <w:shd w:val="clear" w:color="auto" w:fill="F2DBDB" w:themeFill="accent2" w:themeFillTint="33"/>
          </w:tcPr>
          <w:p w:rsidR="006121BD" w:rsidRPr="00051DF5" w:rsidRDefault="006121BD" w:rsidP="00790985">
            <w:pPr>
              <w:rPr>
                <w:rFonts w:asciiTheme="majorHAnsi" w:hAnsiTheme="majorHAnsi"/>
                <w:sz w:val="24"/>
                <w:szCs w:val="24"/>
              </w:rPr>
            </w:pPr>
          </w:p>
        </w:tc>
      </w:tr>
      <w:tr w:rsidR="006121BD" w:rsidRPr="00051DF5" w:rsidTr="006121BD">
        <w:tc>
          <w:tcPr>
            <w:tcW w:w="3176" w:type="pct"/>
            <w:shd w:val="clear" w:color="auto" w:fill="FFD5D5"/>
          </w:tcPr>
          <w:p w:rsidR="006121BD" w:rsidRPr="006121BD" w:rsidRDefault="006121BD" w:rsidP="007636E2">
            <w:r>
              <w:t>National Inventory Management Framework (</w:t>
            </w:r>
            <w:proofErr w:type="spellStart"/>
            <w:r>
              <w:t>NIMF</w:t>
            </w:r>
            <w:proofErr w:type="spellEnd"/>
            <w:r>
              <w:t>)</w:t>
            </w:r>
            <w:r w:rsidR="00EF1C2D">
              <w:t xml:space="preserve"> Project</w:t>
            </w:r>
          </w:p>
        </w:tc>
        <w:tc>
          <w:tcPr>
            <w:tcW w:w="372" w:type="pct"/>
            <w:shd w:val="clear" w:color="auto" w:fill="92CDDC"/>
          </w:tcPr>
          <w:p w:rsidR="006121BD" w:rsidRPr="00051DF5" w:rsidRDefault="006121BD" w:rsidP="00790985">
            <w:pPr>
              <w:rPr>
                <w:rFonts w:asciiTheme="majorHAnsi" w:hAnsiTheme="majorHAnsi"/>
                <w:sz w:val="24"/>
                <w:szCs w:val="24"/>
              </w:rPr>
            </w:pPr>
          </w:p>
        </w:tc>
        <w:tc>
          <w:tcPr>
            <w:tcW w:w="371" w:type="pct"/>
            <w:shd w:val="clear" w:color="auto" w:fill="92CDDC"/>
          </w:tcPr>
          <w:p w:rsidR="006121BD" w:rsidRPr="00051DF5" w:rsidRDefault="006121BD" w:rsidP="00790985">
            <w:pPr>
              <w:rPr>
                <w:rFonts w:asciiTheme="majorHAnsi" w:hAnsiTheme="majorHAnsi"/>
                <w:sz w:val="24"/>
                <w:szCs w:val="24"/>
              </w:rPr>
            </w:pPr>
          </w:p>
        </w:tc>
        <w:tc>
          <w:tcPr>
            <w:tcW w:w="371" w:type="pct"/>
            <w:shd w:val="clear" w:color="auto" w:fill="92CDDC"/>
          </w:tcPr>
          <w:p w:rsidR="006121BD" w:rsidRPr="00051DF5" w:rsidRDefault="006121BD" w:rsidP="00790985">
            <w:pPr>
              <w:rPr>
                <w:rFonts w:asciiTheme="majorHAnsi" w:hAnsiTheme="majorHAnsi"/>
                <w:sz w:val="24"/>
                <w:szCs w:val="24"/>
              </w:rPr>
            </w:pPr>
          </w:p>
        </w:tc>
        <w:tc>
          <w:tcPr>
            <w:tcW w:w="363" w:type="pct"/>
            <w:shd w:val="clear" w:color="auto" w:fill="92CDDC"/>
          </w:tcPr>
          <w:p w:rsidR="006121BD" w:rsidRPr="00051DF5" w:rsidRDefault="006121BD" w:rsidP="00790985">
            <w:pPr>
              <w:rPr>
                <w:rFonts w:asciiTheme="majorHAnsi" w:hAnsiTheme="majorHAnsi"/>
                <w:sz w:val="24"/>
                <w:szCs w:val="24"/>
              </w:rPr>
            </w:pPr>
          </w:p>
        </w:tc>
        <w:tc>
          <w:tcPr>
            <w:tcW w:w="347" w:type="pct"/>
            <w:shd w:val="clear" w:color="auto" w:fill="92CDDC"/>
          </w:tcPr>
          <w:p w:rsidR="006121BD" w:rsidRPr="00051DF5" w:rsidRDefault="006121BD" w:rsidP="00790985">
            <w:pPr>
              <w:rPr>
                <w:rFonts w:asciiTheme="majorHAnsi" w:hAnsiTheme="majorHAnsi"/>
                <w:sz w:val="24"/>
                <w:szCs w:val="24"/>
              </w:rPr>
            </w:pPr>
          </w:p>
        </w:tc>
      </w:tr>
      <w:tr w:rsidR="006121BD" w:rsidRPr="00051DF5" w:rsidTr="006121BD">
        <w:tc>
          <w:tcPr>
            <w:tcW w:w="3176" w:type="pct"/>
            <w:shd w:val="clear" w:color="auto" w:fill="FFD5D5"/>
          </w:tcPr>
          <w:p w:rsidR="006121BD" w:rsidRDefault="006121BD" w:rsidP="006121BD">
            <w:r>
              <w:t>Development and dissemination of case studies</w:t>
            </w:r>
          </w:p>
        </w:tc>
        <w:tc>
          <w:tcPr>
            <w:tcW w:w="372" w:type="pct"/>
            <w:shd w:val="clear" w:color="auto" w:fill="92CDDC"/>
          </w:tcPr>
          <w:p w:rsidR="006121BD" w:rsidRPr="00051DF5" w:rsidRDefault="006121BD" w:rsidP="00790985">
            <w:pPr>
              <w:rPr>
                <w:rFonts w:asciiTheme="majorHAnsi" w:hAnsiTheme="majorHAnsi"/>
                <w:sz w:val="24"/>
                <w:szCs w:val="24"/>
              </w:rPr>
            </w:pPr>
          </w:p>
        </w:tc>
        <w:tc>
          <w:tcPr>
            <w:tcW w:w="371" w:type="pct"/>
            <w:shd w:val="clear" w:color="auto" w:fill="92CDDC"/>
          </w:tcPr>
          <w:p w:rsidR="006121BD" w:rsidRPr="00051DF5" w:rsidRDefault="006121BD" w:rsidP="00790985">
            <w:pPr>
              <w:rPr>
                <w:rFonts w:asciiTheme="majorHAnsi" w:hAnsiTheme="majorHAnsi"/>
                <w:sz w:val="24"/>
                <w:szCs w:val="24"/>
              </w:rPr>
            </w:pPr>
          </w:p>
        </w:tc>
        <w:tc>
          <w:tcPr>
            <w:tcW w:w="371" w:type="pct"/>
            <w:shd w:val="clear" w:color="auto" w:fill="92CDDC"/>
          </w:tcPr>
          <w:p w:rsidR="006121BD" w:rsidRPr="00051DF5" w:rsidRDefault="006121BD" w:rsidP="00790985">
            <w:pPr>
              <w:rPr>
                <w:rFonts w:asciiTheme="majorHAnsi" w:hAnsiTheme="majorHAnsi"/>
                <w:sz w:val="24"/>
                <w:szCs w:val="24"/>
              </w:rPr>
            </w:pPr>
          </w:p>
        </w:tc>
        <w:tc>
          <w:tcPr>
            <w:tcW w:w="363" w:type="pct"/>
            <w:shd w:val="clear" w:color="auto" w:fill="92CDDC"/>
          </w:tcPr>
          <w:p w:rsidR="006121BD" w:rsidRPr="00051DF5" w:rsidRDefault="006121BD" w:rsidP="00790985">
            <w:pPr>
              <w:rPr>
                <w:rFonts w:asciiTheme="majorHAnsi" w:hAnsiTheme="majorHAnsi"/>
                <w:sz w:val="24"/>
                <w:szCs w:val="24"/>
              </w:rPr>
            </w:pPr>
          </w:p>
        </w:tc>
        <w:tc>
          <w:tcPr>
            <w:tcW w:w="347" w:type="pct"/>
            <w:shd w:val="clear" w:color="auto" w:fill="92CDDC"/>
          </w:tcPr>
          <w:p w:rsidR="006121BD" w:rsidRPr="00051DF5" w:rsidRDefault="006121BD" w:rsidP="00790985">
            <w:pPr>
              <w:rPr>
                <w:rFonts w:asciiTheme="majorHAnsi" w:hAnsiTheme="majorHAnsi"/>
                <w:sz w:val="24"/>
                <w:szCs w:val="24"/>
              </w:rPr>
            </w:pPr>
          </w:p>
        </w:tc>
      </w:tr>
      <w:tr w:rsidR="006121BD" w:rsidRPr="00051DF5" w:rsidTr="006121BD">
        <w:tc>
          <w:tcPr>
            <w:tcW w:w="3176" w:type="pct"/>
            <w:shd w:val="clear" w:color="auto" w:fill="FFD5D5"/>
          </w:tcPr>
          <w:p w:rsidR="006121BD" w:rsidRDefault="003818E3" w:rsidP="00E24657">
            <w:r w:rsidRPr="00845902">
              <w:rPr>
                <w:i/>
              </w:rPr>
              <w:t xml:space="preserve">Managing Blood Product Inventory: </w:t>
            </w:r>
            <w:r>
              <w:rPr>
                <w:i/>
              </w:rPr>
              <w:t xml:space="preserve"> </w:t>
            </w:r>
            <w:r w:rsidRPr="00845902">
              <w:rPr>
                <w:i/>
              </w:rPr>
              <w:t>Guidelines for Australian Health Providers</w:t>
            </w:r>
          </w:p>
        </w:tc>
        <w:tc>
          <w:tcPr>
            <w:tcW w:w="372" w:type="pct"/>
            <w:shd w:val="clear" w:color="auto" w:fill="92CDDC"/>
          </w:tcPr>
          <w:p w:rsidR="006121BD" w:rsidRPr="00051DF5" w:rsidRDefault="006121BD" w:rsidP="00790985">
            <w:pPr>
              <w:rPr>
                <w:rFonts w:asciiTheme="majorHAnsi" w:hAnsiTheme="majorHAnsi"/>
                <w:sz w:val="24"/>
                <w:szCs w:val="24"/>
              </w:rPr>
            </w:pPr>
          </w:p>
        </w:tc>
        <w:tc>
          <w:tcPr>
            <w:tcW w:w="371" w:type="pct"/>
          </w:tcPr>
          <w:p w:rsidR="006121BD" w:rsidRPr="00051DF5" w:rsidRDefault="006121BD" w:rsidP="00790985">
            <w:pPr>
              <w:rPr>
                <w:rFonts w:asciiTheme="majorHAnsi" w:hAnsiTheme="majorHAnsi"/>
                <w:sz w:val="24"/>
                <w:szCs w:val="24"/>
              </w:rPr>
            </w:pPr>
          </w:p>
        </w:tc>
        <w:tc>
          <w:tcPr>
            <w:tcW w:w="371" w:type="pct"/>
          </w:tcPr>
          <w:p w:rsidR="006121BD" w:rsidRPr="00051DF5" w:rsidRDefault="006121BD" w:rsidP="00790985">
            <w:pPr>
              <w:rPr>
                <w:rFonts w:asciiTheme="majorHAnsi" w:hAnsiTheme="majorHAnsi"/>
                <w:sz w:val="24"/>
                <w:szCs w:val="24"/>
              </w:rPr>
            </w:pPr>
          </w:p>
        </w:tc>
        <w:tc>
          <w:tcPr>
            <w:tcW w:w="363" w:type="pct"/>
          </w:tcPr>
          <w:p w:rsidR="006121BD" w:rsidRPr="00051DF5" w:rsidRDefault="006121BD" w:rsidP="00790985">
            <w:pPr>
              <w:rPr>
                <w:rFonts w:asciiTheme="majorHAnsi" w:hAnsiTheme="majorHAnsi"/>
                <w:sz w:val="24"/>
                <w:szCs w:val="24"/>
              </w:rPr>
            </w:pPr>
          </w:p>
        </w:tc>
        <w:tc>
          <w:tcPr>
            <w:tcW w:w="347" w:type="pct"/>
          </w:tcPr>
          <w:p w:rsidR="006121BD" w:rsidRPr="00051DF5" w:rsidRDefault="006121BD" w:rsidP="00790985">
            <w:pPr>
              <w:rPr>
                <w:rFonts w:asciiTheme="majorHAnsi" w:hAnsiTheme="majorHAnsi"/>
                <w:sz w:val="24"/>
                <w:szCs w:val="24"/>
              </w:rPr>
            </w:pPr>
          </w:p>
        </w:tc>
      </w:tr>
      <w:tr w:rsidR="006121BD" w:rsidRPr="00051DF5" w:rsidTr="006121BD">
        <w:tc>
          <w:tcPr>
            <w:tcW w:w="3176" w:type="pct"/>
            <w:shd w:val="clear" w:color="auto" w:fill="FFD5D5"/>
          </w:tcPr>
          <w:p w:rsidR="006121BD" w:rsidRDefault="00892687" w:rsidP="006121BD">
            <w:r>
              <w:t>Tools to set minimum and maximum bands for AHP inventory</w:t>
            </w:r>
          </w:p>
        </w:tc>
        <w:tc>
          <w:tcPr>
            <w:tcW w:w="372" w:type="pct"/>
            <w:shd w:val="clear" w:color="auto" w:fill="92CDDC"/>
          </w:tcPr>
          <w:p w:rsidR="006121BD" w:rsidRPr="00051DF5" w:rsidRDefault="006121BD" w:rsidP="00790985">
            <w:pPr>
              <w:rPr>
                <w:rFonts w:asciiTheme="majorHAnsi" w:hAnsiTheme="majorHAnsi"/>
                <w:sz w:val="24"/>
                <w:szCs w:val="24"/>
              </w:rPr>
            </w:pPr>
          </w:p>
        </w:tc>
        <w:tc>
          <w:tcPr>
            <w:tcW w:w="371" w:type="pct"/>
          </w:tcPr>
          <w:p w:rsidR="006121BD" w:rsidRPr="00051DF5" w:rsidRDefault="006121BD" w:rsidP="00790985">
            <w:pPr>
              <w:rPr>
                <w:rFonts w:asciiTheme="majorHAnsi" w:hAnsiTheme="majorHAnsi"/>
                <w:sz w:val="24"/>
                <w:szCs w:val="24"/>
              </w:rPr>
            </w:pPr>
          </w:p>
        </w:tc>
        <w:tc>
          <w:tcPr>
            <w:tcW w:w="371" w:type="pct"/>
          </w:tcPr>
          <w:p w:rsidR="006121BD" w:rsidRPr="00051DF5" w:rsidRDefault="006121BD" w:rsidP="00790985">
            <w:pPr>
              <w:rPr>
                <w:rFonts w:asciiTheme="majorHAnsi" w:hAnsiTheme="majorHAnsi"/>
                <w:sz w:val="24"/>
                <w:szCs w:val="24"/>
              </w:rPr>
            </w:pPr>
          </w:p>
        </w:tc>
        <w:tc>
          <w:tcPr>
            <w:tcW w:w="363" w:type="pct"/>
          </w:tcPr>
          <w:p w:rsidR="006121BD" w:rsidRPr="00051DF5" w:rsidRDefault="006121BD" w:rsidP="00790985">
            <w:pPr>
              <w:rPr>
                <w:rFonts w:asciiTheme="majorHAnsi" w:hAnsiTheme="majorHAnsi"/>
                <w:sz w:val="24"/>
                <w:szCs w:val="24"/>
              </w:rPr>
            </w:pPr>
          </w:p>
        </w:tc>
        <w:tc>
          <w:tcPr>
            <w:tcW w:w="347" w:type="pct"/>
          </w:tcPr>
          <w:p w:rsidR="006121BD" w:rsidRPr="00051DF5" w:rsidRDefault="006121BD" w:rsidP="00790985">
            <w:pPr>
              <w:rPr>
                <w:rFonts w:asciiTheme="majorHAnsi" w:hAnsiTheme="majorHAnsi"/>
                <w:sz w:val="24"/>
                <w:szCs w:val="24"/>
              </w:rPr>
            </w:pPr>
          </w:p>
        </w:tc>
      </w:tr>
      <w:tr w:rsidR="006121BD" w:rsidRPr="00051DF5" w:rsidTr="006121BD">
        <w:tc>
          <w:tcPr>
            <w:tcW w:w="3176" w:type="pct"/>
            <w:shd w:val="clear" w:color="auto" w:fill="FFD5D5"/>
          </w:tcPr>
          <w:p w:rsidR="006121BD" w:rsidRPr="006121BD" w:rsidRDefault="006121BD" w:rsidP="006121BD">
            <w:pPr>
              <w:rPr>
                <w:b/>
              </w:rPr>
            </w:pPr>
            <w:r>
              <w:rPr>
                <w:b/>
              </w:rPr>
              <w:t>Education and Training</w:t>
            </w:r>
          </w:p>
        </w:tc>
        <w:tc>
          <w:tcPr>
            <w:tcW w:w="372" w:type="pct"/>
            <w:shd w:val="clear" w:color="auto" w:fill="F2DBDB" w:themeFill="accent2" w:themeFillTint="33"/>
          </w:tcPr>
          <w:p w:rsidR="006121BD" w:rsidRPr="00051DF5" w:rsidRDefault="006121BD" w:rsidP="00790985">
            <w:pPr>
              <w:rPr>
                <w:rFonts w:asciiTheme="majorHAnsi" w:hAnsiTheme="majorHAnsi"/>
                <w:sz w:val="24"/>
                <w:szCs w:val="24"/>
              </w:rPr>
            </w:pPr>
          </w:p>
        </w:tc>
        <w:tc>
          <w:tcPr>
            <w:tcW w:w="371" w:type="pct"/>
            <w:shd w:val="clear" w:color="auto" w:fill="F2DBDB" w:themeFill="accent2" w:themeFillTint="33"/>
          </w:tcPr>
          <w:p w:rsidR="006121BD" w:rsidRPr="00051DF5" w:rsidRDefault="006121BD" w:rsidP="00790985">
            <w:pPr>
              <w:rPr>
                <w:rFonts w:asciiTheme="majorHAnsi" w:hAnsiTheme="majorHAnsi"/>
                <w:sz w:val="24"/>
                <w:szCs w:val="24"/>
              </w:rPr>
            </w:pPr>
          </w:p>
        </w:tc>
        <w:tc>
          <w:tcPr>
            <w:tcW w:w="371" w:type="pct"/>
            <w:shd w:val="clear" w:color="auto" w:fill="F2DBDB" w:themeFill="accent2" w:themeFillTint="33"/>
          </w:tcPr>
          <w:p w:rsidR="006121BD" w:rsidRPr="00051DF5" w:rsidRDefault="006121BD" w:rsidP="00790985">
            <w:pPr>
              <w:rPr>
                <w:rFonts w:asciiTheme="majorHAnsi" w:hAnsiTheme="majorHAnsi"/>
                <w:sz w:val="24"/>
                <w:szCs w:val="24"/>
              </w:rPr>
            </w:pPr>
          </w:p>
        </w:tc>
        <w:tc>
          <w:tcPr>
            <w:tcW w:w="363" w:type="pct"/>
            <w:shd w:val="clear" w:color="auto" w:fill="F2DBDB" w:themeFill="accent2" w:themeFillTint="33"/>
          </w:tcPr>
          <w:p w:rsidR="006121BD" w:rsidRPr="00051DF5" w:rsidRDefault="006121BD" w:rsidP="00790985">
            <w:pPr>
              <w:rPr>
                <w:rFonts w:asciiTheme="majorHAnsi" w:hAnsiTheme="majorHAnsi"/>
                <w:sz w:val="24"/>
                <w:szCs w:val="24"/>
              </w:rPr>
            </w:pPr>
          </w:p>
        </w:tc>
        <w:tc>
          <w:tcPr>
            <w:tcW w:w="347" w:type="pct"/>
            <w:shd w:val="clear" w:color="auto" w:fill="F2DBDB" w:themeFill="accent2" w:themeFillTint="33"/>
          </w:tcPr>
          <w:p w:rsidR="006121BD" w:rsidRPr="00051DF5" w:rsidRDefault="006121BD" w:rsidP="00790985">
            <w:pPr>
              <w:rPr>
                <w:rFonts w:asciiTheme="majorHAnsi" w:hAnsiTheme="majorHAnsi"/>
                <w:sz w:val="24"/>
                <w:szCs w:val="24"/>
              </w:rPr>
            </w:pPr>
          </w:p>
        </w:tc>
      </w:tr>
      <w:tr w:rsidR="006121BD" w:rsidRPr="00051DF5" w:rsidTr="006121BD">
        <w:tc>
          <w:tcPr>
            <w:tcW w:w="3176" w:type="pct"/>
            <w:shd w:val="clear" w:color="auto" w:fill="FFD5D5"/>
          </w:tcPr>
          <w:p w:rsidR="006121BD" w:rsidRDefault="006121BD" w:rsidP="00BC6D3D">
            <w:r>
              <w:t xml:space="preserve">Core </w:t>
            </w:r>
            <w:r w:rsidR="00BC6D3D">
              <w:t>training and assessment requirements</w:t>
            </w:r>
            <w:r>
              <w:t xml:space="preserve"> for inventory management staff defined</w:t>
            </w:r>
          </w:p>
        </w:tc>
        <w:tc>
          <w:tcPr>
            <w:tcW w:w="372" w:type="pct"/>
          </w:tcPr>
          <w:p w:rsidR="006121BD" w:rsidRPr="00051DF5" w:rsidRDefault="006121BD" w:rsidP="00790985">
            <w:pPr>
              <w:rPr>
                <w:rFonts w:asciiTheme="majorHAnsi" w:hAnsiTheme="majorHAnsi"/>
                <w:sz w:val="24"/>
                <w:szCs w:val="24"/>
              </w:rPr>
            </w:pPr>
          </w:p>
        </w:tc>
        <w:tc>
          <w:tcPr>
            <w:tcW w:w="371" w:type="pct"/>
            <w:shd w:val="clear" w:color="auto" w:fill="92CDDC"/>
          </w:tcPr>
          <w:p w:rsidR="006121BD" w:rsidRPr="00051DF5" w:rsidRDefault="006121BD" w:rsidP="00790985">
            <w:pPr>
              <w:rPr>
                <w:rFonts w:asciiTheme="majorHAnsi" w:hAnsiTheme="majorHAnsi"/>
                <w:sz w:val="24"/>
                <w:szCs w:val="24"/>
              </w:rPr>
            </w:pPr>
          </w:p>
        </w:tc>
        <w:tc>
          <w:tcPr>
            <w:tcW w:w="371" w:type="pct"/>
          </w:tcPr>
          <w:p w:rsidR="006121BD" w:rsidRPr="00051DF5" w:rsidRDefault="006121BD" w:rsidP="00790985">
            <w:pPr>
              <w:rPr>
                <w:rFonts w:asciiTheme="majorHAnsi" w:hAnsiTheme="majorHAnsi"/>
                <w:sz w:val="24"/>
                <w:szCs w:val="24"/>
              </w:rPr>
            </w:pPr>
          </w:p>
        </w:tc>
        <w:tc>
          <w:tcPr>
            <w:tcW w:w="363" w:type="pct"/>
          </w:tcPr>
          <w:p w:rsidR="006121BD" w:rsidRPr="00051DF5" w:rsidRDefault="006121BD" w:rsidP="00790985">
            <w:pPr>
              <w:rPr>
                <w:rFonts w:asciiTheme="majorHAnsi" w:hAnsiTheme="majorHAnsi"/>
                <w:sz w:val="24"/>
                <w:szCs w:val="24"/>
              </w:rPr>
            </w:pPr>
          </w:p>
        </w:tc>
        <w:tc>
          <w:tcPr>
            <w:tcW w:w="347" w:type="pct"/>
          </w:tcPr>
          <w:p w:rsidR="006121BD" w:rsidRPr="00051DF5" w:rsidRDefault="006121BD" w:rsidP="00790985">
            <w:pPr>
              <w:rPr>
                <w:rFonts w:asciiTheme="majorHAnsi" w:hAnsiTheme="majorHAnsi"/>
                <w:sz w:val="24"/>
                <w:szCs w:val="24"/>
              </w:rPr>
            </w:pPr>
          </w:p>
        </w:tc>
      </w:tr>
      <w:tr w:rsidR="006121BD" w:rsidRPr="00051DF5" w:rsidTr="006121BD">
        <w:tc>
          <w:tcPr>
            <w:tcW w:w="3176" w:type="pct"/>
            <w:shd w:val="clear" w:color="auto" w:fill="FFD5D5"/>
          </w:tcPr>
          <w:p w:rsidR="006121BD" w:rsidRPr="006121BD" w:rsidRDefault="006121BD" w:rsidP="00BC6D3D">
            <w:pPr>
              <w:rPr>
                <w:sz w:val="21"/>
                <w:szCs w:val="21"/>
              </w:rPr>
            </w:pPr>
            <w:r w:rsidRPr="006121BD">
              <w:rPr>
                <w:sz w:val="21"/>
                <w:szCs w:val="21"/>
              </w:rPr>
              <w:t>Incorporate core training in existing training programs</w:t>
            </w:r>
          </w:p>
        </w:tc>
        <w:tc>
          <w:tcPr>
            <w:tcW w:w="372" w:type="pct"/>
          </w:tcPr>
          <w:p w:rsidR="006121BD" w:rsidRPr="00051DF5" w:rsidRDefault="006121BD" w:rsidP="00790985">
            <w:pPr>
              <w:rPr>
                <w:rFonts w:asciiTheme="majorHAnsi" w:hAnsiTheme="majorHAnsi"/>
                <w:sz w:val="24"/>
                <w:szCs w:val="24"/>
              </w:rPr>
            </w:pPr>
          </w:p>
        </w:tc>
        <w:tc>
          <w:tcPr>
            <w:tcW w:w="371" w:type="pct"/>
          </w:tcPr>
          <w:p w:rsidR="006121BD" w:rsidRPr="00051DF5" w:rsidRDefault="006121BD" w:rsidP="00790985">
            <w:pPr>
              <w:rPr>
                <w:rFonts w:asciiTheme="majorHAnsi" w:hAnsiTheme="majorHAnsi"/>
                <w:sz w:val="24"/>
                <w:szCs w:val="24"/>
              </w:rPr>
            </w:pPr>
          </w:p>
        </w:tc>
        <w:tc>
          <w:tcPr>
            <w:tcW w:w="371" w:type="pct"/>
            <w:shd w:val="clear" w:color="auto" w:fill="92CDDC"/>
          </w:tcPr>
          <w:p w:rsidR="006121BD" w:rsidRPr="00051DF5" w:rsidRDefault="006121BD" w:rsidP="00790985">
            <w:pPr>
              <w:rPr>
                <w:rFonts w:asciiTheme="majorHAnsi" w:hAnsiTheme="majorHAnsi"/>
                <w:sz w:val="24"/>
                <w:szCs w:val="24"/>
              </w:rPr>
            </w:pPr>
          </w:p>
        </w:tc>
        <w:tc>
          <w:tcPr>
            <w:tcW w:w="363" w:type="pct"/>
            <w:shd w:val="clear" w:color="auto" w:fill="92CDDC"/>
          </w:tcPr>
          <w:p w:rsidR="006121BD" w:rsidRPr="00051DF5" w:rsidRDefault="006121BD" w:rsidP="00790985">
            <w:pPr>
              <w:rPr>
                <w:rFonts w:asciiTheme="majorHAnsi" w:hAnsiTheme="majorHAnsi"/>
                <w:sz w:val="24"/>
                <w:szCs w:val="24"/>
              </w:rPr>
            </w:pPr>
          </w:p>
        </w:tc>
        <w:tc>
          <w:tcPr>
            <w:tcW w:w="347" w:type="pct"/>
            <w:shd w:val="clear" w:color="auto" w:fill="92CDDC"/>
          </w:tcPr>
          <w:p w:rsidR="006121BD" w:rsidRPr="00051DF5" w:rsidRDefault="006121BD" w:rsidP="00790985">
            <w:pPr>
              <w:rPr>
                <w:rFonts w:asciiTheme="majorHAnsi" w:hAnsiTheme="majorHAnsi"/>
                <w:sz w:val="24"/>
                <w:szCs w:val="24"/>
              </w:rPr>
            </w:pPr>
          </w:p>
        </w:tc>
      </w:tr>
      <w:tr w:rsidR="006121BD" w:rsidRPr="00051DF5" w:rsidTr="006121BD">
        <w:tc>
          <w:tcPr>
            <w:tcW w:w="3176" w:type="pct"/>
            <w:shd w:val="clear" w:color="auto" w:fill="FFD5D5"/>
          </w:tcPr>
          <w:p w:rsidR="006121BD" w:rsidRPr="006121BD" w:rsidRDefault="006121BD" w:rsidP="006121BD">
            <w:pPr>
              <w:rPr>
                <w:b/>
              </w:rPr>
            </w:pPr>
            <w:r>
              <w:rPr>
                <w:b/>
              </w:rPr>
              <w:t>Enhanced Awareness of Unit Prices</w:t>
            </w:r>
          </w:p>
        </w:tc>
        <w:tc>
          <w:tcPr>
            <w:tcW w:w="372" w:type="pct"/>
            <w:shd w:val="clear" w:color="auto" w:fill="F2DBDB" w:themeFill="accent2" w:themeFillTint="33"/>
          </w:tcPr>
          <w:p w:rsidR="006121BD" w:rsidRPr="00051DF5" w:rsidRDefault="006121BD" w:rsidP="00790985">
            <w:pPr>
              <w:rPr>
                <w:rFonts w:asciiTheme="majorHAnsi" w:hAnsiTheme="majorHAnsi"/>
                <w:sz w:val="24"/>
                <w:szCs w:val="24"/>
              </w:rPr>
            </w:pPr>
          </w:p>
        </w:tc>
        <w:tc>
          <w:tcPr>
            <w:tcW w:w="371" w:type="pct"/>
            <w:shd w:val="clear" w:color="auto" w:fill="F2DBDB" w:themeFill="accent2" w:themeFillTint="33"/>
          </w:tcPr>
          <w:p w:rsidR="006121BD" w:rsidRPr="00051DF5" w:rsidRDefault="006121BD" w:rsidP="00790985">
            <w:pPr>
              <w:rPr>
                <w:rFonts w:asciiTheme="majorHAnsi" w:hAnsiTheme="majorHAnsi"/>
                <w:sz w:val="24"/>
                <w:szCs w:val="24"/>
              </w:rPr>
            </w:pPr>
          </w:p>
        </w:tc>
        <w:tc>
          <w:tcPr>
            <w:tcW w:w="371" w:type="pct"/>
            <w:shd w:val="clear" w:color="auto" w:fill="F2DBDB" w:themeFill="accent2" w:themeFillTint="33"/>
          </w:tcPr>
          <w:p w:rsidR="006121BD" w:rsidRPr="00051DF5" w:rsidRDefault="006121BD" w:rsidP="00790985">
            <w:pPr>
              <w:rPr>
                <w:rFonts w:asciiTheme="majorHAnsi" w:hAnsiTheme="majorHAnsi"/>
                <w:sz w:val="24"/>
                <w:szCs w:val="24"/>
              </w:rPr>
            </w:pPr>
          </w:p>
        </w:tc>
        <w:tc>
          <w:tcPr>
            <w:tcW w:w="363" w:type="pct"/>
            <w:shd w:val="clear" w:color="auto" w:fill="F2DBDB" w:themeFill="accent2" w:themeFillTint="33"/>
          </w:tcPr>
          <w:p w:rsidR="006121BD" w:rsidRPr="00051DF5" w:rsidRDefault="006121BD" w:rsidP="00790985">
            <w:pPr>
              <w:rPr>
                <w:rFonts w:asciiTheme="majorHAnsi" w:hAnsiTheme="majorHAnsi"/>
                <w:sz w:val="24"/>
                <w:szCs w:val="24"/>
              </w:rPr>
            </w:pPr>
          </w:p>
        </w:tc>
        <w:tc>
          <w:tcPr>
            <w:tcW w:w="347" w:type="pct"/>
            <w:shd w:val="clear" w:color="auto" w:fill="F2DBDB" w:themeFill="accent2" w:themeFillTint="33"/>
          </w:tcPr>
          <w:p w:rsidR="006121BD" w:rsidRPr="00051DF5" w:rsidRDefault="006121BD" w:rsidP="00790985">
            <w:pPr>
              <w:rPr>
                <w:rFonts w:asciiTheme="majorHAnsi" w:hAnsiTheme="majorHAnsi"/>
                <w:sz w:val="24"/>
                <w:szCs w:val="24"/>
              </w:rPr>
            </w:pPr>
          </w:p>
        </w:tc>
      </w:tr>
      <w:tr w:rsidR="006121BD" w:rsidRPr="00051DF5" w:rsidTr="00B24109">
        <w:tc>
          <w:tcPr>
            <w:tcW w:w="3176" w:type="pct"/>
            <w:shd w:val="clear" w:color="auto" w:fill="FFD5D5"/>
          </w:tcPr>
          <w:p w:rsidR="006121BD" w:rsidRDefault="00B24109" w:rsidP="00B24109">
            <w:r>
              <w:t>Enhance BloodNet reporting to always list unit prices</w:t>
            </w:r>
          </w:p>
        </w:tc>
        <w:tc>
          <w:tcPr>
            <w:tcW w:w="372" w:type="pct"/>
            <w:shd w:val="clear" w:color="auto" w:fill="92CDDC"/>
          </w:tcPr>
          <w:p w:rsidR="006121BD" w:rsidRPr="00051DF5" w:rsidRDefault="006121BD" w:rsidP="00790985">
            <w:pPr>
              <w:rPr>
                <w:rFonts w:asciiTheme="majorHAnsi" w:hAnsiTheme="majorHAnsi"/>
                <w:sz w:val="24"/>
                <w:szCs w:val="24"/>
              </w:rPr>
            </w:pPr>
          </w:p>
        </w:tc>
        <w:tc>
          <w:tcPr>
            <w:tcW w:w="371" w:type="pct"/>
          </w:tcPr>
          <w:p w:rsidR="006121BD" w:rsidRPr="00051DF5" w:rsidRDefault="006121BD" w:rsidP="00790985">
            <w:pPr>
              <w:rPr>
                <w:rFonts w:asciiTheme="majorHAnsi" w:hAnsiTheme="majorHAnsi"/>
                <w:sz w:val="24"/>
                <w:szCs w:val="24"/>
              </w:rPr>
            </w:pPr>
          </w:p>
        </w:tc>
        <w:tc>
          <w:tcPr>
            <w:tcW w:w="371" w:type="pct"/>
          </w:tcPr>
          <w:p w:rsidR="006121BD" w:rsidRPr="00051DF5" w:rsidRDefault="006121BD" w:rsidP="00790985">
            <w:pPr>
              <w:rPr>
                <w:rFonts w:asciiTheme="majorHAnsi" w:hAnsiTheme="majorHAnsi"/>
                <w:sz w:val="24"/>
                <w:szCs w:val="24"/>
              </w:rPr>
            </w:pPr>
          </w:p>
        </w:tc>
        <w:tc>
          <w:tcPr>
            <w:tcW w:w="363" w:type="pct"/>
          </w:tcPr>
          <w:p w:rsidR="006121BD" w:rsidRPr="00051DF5" w:rsidRDefault="006121BD" w:rsidP="00790985">
            <w:pPr>
              <w:rPr>
                <w:rFonts w:asciiTheme="majorHAnsi" w:hAnsiTheme="majorHAnsi"/>
                <w:sz w:val="24"/>
                <w:szCs w:val="24"/>
              </w:rPr>
            </w:pPr>
          </w:p>
        </w:tc>
        <w:tc>
          <w:tcPr>
            <w:tcW w:w="347" w:type="pct"/>
          </w:tcPr>
          <w:p w:rsidR="006121BD" w:rsidRPr="00051DF5" w:rsidRDefault="006121BD" w:rsidP="00790985">
            <w:pPr>
              <w:rPr>
                <w:rFonts w:asciiTheme="majorHAnsi" w:hAnsiTheme="majorHAnsi"/>
                <w:sz w:val="24"/>
                <w:szCs w:val="24"/>
              </w:rPr>
            </w:pPr>
          </w:p>
        </w:tc>
      </w:tr>
      <w:tr w:rsidR="00B24109" w:rsidRPr="00051DF5" w:rsidTr="00B24109">
        <w:tc>
          <w:tcPr>
            <w:tcW w:w="3176" w:type="pct"/>
            <w:shd w:val="clear" w:color="auto" w:fill="FFD5D5"/>
          </w:tcPr>
          <w:p w:rsidR="00B24109" w:rsidRDefault="00B24109" w:rsidP="00E24657">
            <w:r>
              <w:t xml:space="preserve">Price labels on fresh blood </w:t>
            </w:r>
            <w:r w:rsidR="00E24657">
              <w:t>products</w:t>
            </w:r>
          </w:p>
        </w:tc>
        <w:tc>
          <w:tcPr>
            <w:tcW w:w="372" w:type="pct"/>
          </w:tcPr>
          <w:p w:rsidR="00B24109" w:rsidRPr="00051DF5" w:rsidRDefault="00B24109" w:rsidP="00790985">
            <w:pPr>
              <w:rPr>
                <w:rFonts w:asciiTheme="majorHAnsi" w:hAnsiTheme="majorHAnsi"/>
                <w:sz w:val="24"/>
                <w:szCs w:val="24"/>
              </w:rPr>
            </w:pPr>
          </w:p>
        </w:tc>
        <w:tc>
          <w:tcPr>
            <w:tcW w:w="371" w:type="pct"/>
            <w:shd w:val="clear" w:color="auto" w:fill="92CDDC"/>
          </w:tcPr>
          <w:p w:rsidR="00B24109" w:rsidRPr="00051DF5" w:rsidRDefault="00B24109" w:rsidP="00790985">
            <w:pPr>
              <w:rPr>
                <w:rFonts w:asciiTheme="majorHAnsi" w:hAnsiTheme="majorHAnsi"/>
                <w:sz w:val="24"/>
                <w:szCs w:val="24"/>
              </w:rPr>
            </w:pPr>
          </w:p>
        </w:tc>
        <w:tc>
          <w:tcPr>
            <w:tcW w:w="371" w:type="pct"/>
          </w:tcPr>
          <w:p w:rsidR="00B24109" w:rsidRPr="00051DF5" w:rsidRDefault="00B24109" w:rsidP="00790985">
            <w:pPr>
              <w:rPr>
                <w:rFonts w:asciiTheme="majorHAnsi" w:hAnsiTheme="majorHAnsi"/>
                <w:sz w:val="24"/>
                <w:szCs w:val="24"/>
              </w:rPr>
            </w:pPr>
          </w:p>
        </w:tc>
        <w:tc>
          <w:tcPr>
            <w:tcW w:w="363" w:type="pct"/>
          </w:tcPr>
          <w:p w:rsidR="00B24109" w:rsidRPr="00051DF5" w:rsidRDefault="00B24109" w:rsidP="00790985">
            <w:pPr>
              <w:rPr>
                <w:rFonts w:asciiTheme="majorHAnsi" w:hAnsiTheme="majorHAnsi"/>
                <w:sz w:val="24"/>
                <w:szCs w:val="24"/>
              </w:rPr>
            </w:pPr>
          </w:p>
        </w:tc>
        <w:tc>
          <w:tcPr>
            <w:tcW w:w="347" w:type="pct"/>
          </w:tcPr>
          <w:p w:rsidR="00B24109" w:rsidRPr="00051DF5" w:rsidRDefault="00B24109" w:rsidP="00790985">
            <w:pPr>
              <w:rPr>
                <w:rFonts w:asciiTheme="majorHAnsi" w:hAnsiTheme="majorHAnsi"/>
                <w:sz w:val="24"/>
                <w:szCs w:val="24"/>
              </w:rPr>
            </w:pPr>
          </w:p>
        </w:tc>
      </w:tr>
      <w:tr w:rsidR="00B24109" w:rsidRPr="00051DF5" w:rsidTr="00B24109">
        <w:tc>
          <w:tcPr>
            <w:tcW w:w="3176" w:type="pct"/>
            <w:shd w:val="clear" w:color="auto" w:fill="FFD5D5"/>
          </w:tcPr>
          <w:p w:rsidR="00B24109" w:rsidRDefault="00B24109" w:rsidP="00B24109">
            <w:r>
              <w:t>National Product Catalogue with pricing published</w:t>
            </w:r>
          </w:p>
        </w:tc>
        <w:tc>
          <w:tcPr>
            <w:tcW w:w="372" w:type="pct"/>
            <w:shd w:val="clear" w:color="auto" w:fill="92CDDC"/>
          </w:tcPr>
          <w:p w:rsidR="00B24109" w:rsidRPr="00051DF5" w:rsidRDefault="00B24109" w:rsidP="00790985">
            <w:pPr>
              <w:rPr>
                <w:rFonts w:asciiTheme="majorHAnsi" w:hAnsiTheme="majorHAnsi"/>
                <w:sz w:val="24"/>
                <w:szCs w:val="24"/>
              </w:rPr>
            </w:pPr>
          </w:p>
        </w:tc>
        <w:tc>
          <w:tcPr>
            <w:tcW w:w="371" w:type="pct"/>
          </w:tcPr>
          <w:p w:rsidR="00B24109" w:rsidRPr="00051DF5" w:rsidRDefault="00B24109" w:rsidP="00790985">
            <w:pPr>
              <w:rPr>
                <w:rFonts w:asciiTheme="majorHAnsi" w:hAnsiTheme="majorHAnsi"/>
                <w:sz w:val="24"/>
                <w:szCs w:val="24"/>
              </w:rPr>
            </w:pPr>
          </w:p>
        </w:tc>
        <w:tc>
          <w:tcPr>
            <w:tcW w:w="371" w:type="pct"/>
          </w:tcPr>
          <w:p w:rsidR="00B24109" w:rsidRPr="00051DF5" w:rsidRDefault="00B24109" w:rsidP="00790985">
            <w:pPr>
              <w:rPr>
                <w:rFonts w:asciiTheme="majorHAnsi" w:hAnsiTheme="majorHAnsi"/>
                <w:sz w:val="24"/>
                <w:szCs w:val="24"/>
              </w:rPr>
            </w:pPr>
          </w:p>
        </w:tc>
        <w:tc>
          <w:tcPr>
            <w:tcW w:w="363" w:type="pct"/>
          </w:tcPr>
          <w:p w:rsidR="00B24109" w:rsidRPr="00051DF5" w:rsidRDefault="00B24109" w:rsidP="00790985">
            <w:pPr>
              <w:rPr>
                <w:rFonts w:asciiTheme="majorHAnsi" w:hAnsiTheme="majorHAnsi"/>
                <w:sz w:val="24"/>
                <w:szCs w:val="24"/>
              </w:rPr>
            </w:pPr>
          </w:p>
        </w:tc>
        <w:tc>
          <w:tcPr>
            <w:tcW w:w="347" w:type="pct"/>
          </w:tcPr>
          <w:p w:rsidR="00B24109" w:rsidRPr="00051DF5" w:rsidRDefault="00B24109" w:rsidP="00790985">
            <w:pPr>
              <w:rPr>
                <w:rFonts w:asciiTheme="majorHAnsi" w:hAnsiTheme="majorHAnsi"/>
                <w:sz w:val="24"/>
                <w:szCs w:val="24"/>
              </w:rPr>
            </w:pPr>
          </w:p>
        </w:tc>
      </w:tr>
      <w:tr w:rsidR="00B24109" w:rsidRPr="00D947F0" w:rsidTr="00B24109">
        <w:tc>
          <w:tcPr>
            <w:tcW w:w="3176" w:type="pct"/>
            <w:shd w:val="clear" w:color="auto" w:fill="FFD5D5"/>
          </w:tcPr>
          <w:p w:rsidR="00B24109" w:rsidRPr="00D947F0" w:rsidRDefault="00D947F0" w:rsidP="00B24109">
            <w:pPr>
              <w:rPr>
                <w:b/>
              </w:rPr>
            </w:pPr>
            <w:r w:rsidRPr="00D947F0">
              <w:rPr>
                <w:b/>
              </w:rPr>
              <w:t>Enhanced Collaboration</w:t>
            </w:r>
          </w:p>
        </w:tc>
        <w:tc>
          <w:tcPr>
            <w:tcW w:w="372" w:type="pct"/>
            <w:shd w:val="clear" w:color="auto" w:fill="F2DBDB" w:themeFill="accent2" w:themeFillTint="33"/>
          </w:tcPr>
          <w:p w:rsidR="00B24109" w:rsidRPr="00D947F0" w:rsidRDefault="00B24109" w:rsidP="00790985">
            <w:pPr>
              <w:rPr>
                <w:rFonts w:asciiTheme="majorHAnsi" w:hAnsiTheme="majorHAnsi"/>
                <w:b/>
                <w:sz w:val="24"/>
                <w:szCs w:val="24"/>
              </w:rPr>
            </w:pPr>
          </w:p>
        </w:tc>
        <w:tc>
          <w:tcPr>
            <w:tcW w:w="371" w:type="pct"/>
            <w:shd w:val="clear" w:color="auto" w:fill="F2DBDB" w:themeFill="accent2" w:themeFillTint="33"/>
          </w:tcPr>
          <w:p w:rsidR="00B24109" w:rsidRPr="00D947F0" w:rsidRDefault="00B24109" w:rsidP="00790985">
            <w:pPr>
              <w:rPr>
                <w:rFonts w:asciiTheme="majorHAnsi" w:hAnsiTheme="majorHAnsi"/>
                <w:b/>
                <w:sz w:val="24"/>
                <w:szCs w:val="24"/>
              </w:rPr>
            </w:pPr>
          </w:p>
        </w:tc>
        <w:tc>
          <w:tcPr>
            <w:tcW w:w="371" w:type="pct"/>
            <w:shd w:val="clear" w:color="auto" w:fill="F2DBDB" w:themeFill="accent2" w:themeFillTint="33"/>
          </w:tcPr>
          <w:p w:rsidR="00B24109" w:rsidRPr="00D947F0" w:rsidRDefault="00B24109" w:rsidP="00790985">
            <w:pPr>
              <w:rPr>
                <w:rFonts w:asciiTheme="majorHAnsi" w:hAnsiTheme="majorHAnsi"/>
                <w:b/>
                <w:sz w:val="24"/>
                <w:szCs w:val="24"/>
              </w:rPr>
            </w:pPr>
          </w:p>
        </w:tc>
        <w:tc>
          <w:tcPr>
            <w:tcW w:w="363" w:type="pct"/>
            <w:shd w:val="clear" w:color="auto" w:fill="F2DBDB" w:themeFill="accent2" w:themeFillTint="33"/>
          </w:tcPr>
          <w:p w:rsidR="00B24109" w:rsidRPr="00D947F0" w:rsidRDefault="00B24109" w:rsidP="00790985">
            <w:pPr>
              <w:rPr>
                <w:rFonts w:asciiTheme="majorHAnsi" w:hAnsiTheme="majorHAnsi"/>
                <w:b/>
                <w:sz w:val="24"/>
                <w:szCs w:val="24"/>
              </w:rPr>
            </w:pPr>
          </w:p>
        </w:tc>
        <w:tc>
          <w:tcPr>
            <w:tcW w:w="347" w:type="pct"/>
            <w:shd w:val="clear" w:color="auto" w:fill="F2DBDB" w:themeFill="accent2" w:themeFillTint="33"/>
          </w:tcPr>
          <w:p w:rsidR="00B24109" w:rsidRPr="00D947F0" w:rsidRDefault="00B24109" w:rsidP="00790985">
            <w:pPr>
              <w:rPr>
                <w:rFonts w:asciiTheme="majorHAnsi" w:hAnsiTheme="majorHAnsi"/>
                <w:b/>
                <w:sz w:val="24"/>
                <w:szCs w:val="24"/>
              </w:rPr>
            </w:pPr>
          </w:p>
        </w:tc>
      </w:tr>
      <w:tr w:rsidR="00B24109" w:rsidRPr="00051DF5" w:rsidTr="00D947F0">
        <w:tc>
          <w:tcPr>
            <w:tcW w:w="3176" w:type="pct"/>
            <w:shd w:val="clear" w:color="auto" w:fill="FFD5D5"/>
          </w:tcPr>
          <w:p w:rsidR="00B24109" w:rsidRDefault="00D947F0" w:rsidP="00D947F0">
            <w:r>
              <w:t>Private sector engagement, including annual forums</w:t>
            </w:r>
          </w:p>
        </w:tc>
        <w:tc>
          <w:tcPr>
            <w:tcW w:w="372" w:type="pct"/>
            <w:shd w:val="clear" w:color="auto" w:fill="92CDDC"/>
          </w:tcPr>
          <w:p w:rsidR="00B24109" w:rsidRPr="00051DF5" w:rsidRDefault="00B24109" w:rsidP="00790985">
            <w:pPr>
              <w:rPr>
                <w:rFonts w:asciiTheme="majorHAnsi" w:hAnsiTheme="majorHAnsi"/>
                <w:sz w:val="24"/>
                <w:szCs w:val="24"/>
              </w:rPr>
            </w:pPr>
          </w:p>
        </w:tc>
        <w:tc>
          <w:tcPr>
            <w:tcW w:w="371" w:type="pct"/>
            <w:shd w:val="clear" w:color="auto" w:fill="92CDDC"/>
          </w:tcPr>
          <w:p w:rsidR="00B24109" w:rsidRPr="00051DF5" w:rsidRDefault="00B24109" w:rsidP="00790985">
            <w:pPr>
              <w:rPr>
                <w:rFonts w:asciiTheme="majorHAnsi" w:hAnsiTheme="majorHAnsi"/>
                <w:sz w:val="24"/>
                <w:szCs w:val="24"/>
              </w:rPr>
            </w:pPr>
          </w:p>
        </w:tc>
        <w:tc>
          <w:tcPr>
            <w:tcW w:w="371" w:type="pct"/>
            <w:shd w:val="clear" w:color="auto" w:fill="92CDDC"/>
          </w:tcPr>
          <w:p w:rsidR="00B24109" w:rsidRPr="00051DF5" w:rsidRDefault="00B24109" w:rsidP="00790985">
            <w:pPr>
              <w:rPr>
                <w:rFonts w:asciiTheme="majorHAnsi" w:hAnsiTheme="majorHAnsi"/>
                <w:sz w:val="24"/>
                <w:szCs w:val="24"/>
              </w:rPr>
            </w:pPr>
          </w:p>
        </w:tc>
        <w:tc>
          <w:tcPr>
            <w:tcW w:w="363" w:type="pct"/>
            <w:shd w:val="clear" w:color="auto" w:fill="92CDDC"/>
          </w:tcPr>
          <w:p w:rsidR="00B24109" w:rsidRPr="00051DF5" w:rsidRDefault="00B24109" w:rsidP="00790985">
            <w:pPr>
              <w:rPr>
                <w:rFonts w:asciiTheme="majorHAnsi" w:hAnsiTheme="majorHAnsi"/>
                <w:sz w:val="24"/>
                <w:szCs w:val="24"/>
              </w:rPr>
            </w:pPr>
          </w:p>
        </w:tc>
        <w:tc>
          <w:tcPr>
            <w:tcW w:w="347" w:type="pct"/>
            <w:shd w:val="clear" w:color="auto" w:fill="92CDDC"/>
          </w:tcPr>
          <w:p w:rsidR="00B24109" w:rsidRPr="00051DF5" w:rsidRDefault="00B24109" w:rsidP="00790985">
            <w:pPr>
              <w:rPr>
                <w:rFonts w:asciiTheme="majorHAnsi" w:hAnsiTheme="majorHAnsi"/>
                <w:sz w:val="24"/>
                <w:szCs w:val="24"/>
              </w:rPr>
            </w:pPr>
          </w:p>
        </w:tc>
      </w:tr>
      <w:tr w:rsidR="00D947F0" w:rsidRPr="00051DF5" w:rsidTr="00D947F0">
        <w:tc>
          <w:tcPr>
            <w:tcW w:w="3176" w:type="pct"/>
            <w:shd w:val="clear" w:color="auto" w:fill="FFD5D5"/>
          </w:tcPr>
          <w:p w:rsidR="00D947F0" w:rsidRDefault="00D947F0" w:rsidP="00B24109">
            <w:r>
              <w:t>Development of champion networks</w:t>
            </w:r>
          </w:p>
        </w:tc>
        <w:tc>
          <w:tcPr>
            <w:tcW w:w="372" w:type="pct"/>
            <w:shd w:val="clear" w:color="auto" w:fill="92CDDC"/>
          </w:tcPr>
          <w:p w:rsidR="00D947F0" w:rsidRPr="00051DF5" w:rsidRDefault="00D947F0" w:rsidP="00790985">
            <w:pPr>
              <w:rPr>
                <w:rFonts w:asciiTheme="majorHAnsi" w:hAnsiTheme="majorHAnsi"/>
                <w:sz w:val="24"/>
                <w:szCs w:val="24"/>
              </w:rPr>
            </w:pPr>
          </w:p>
        </w:tc>
        <w:tc>
          <w:tcPr>
            <w:tcW w:w="371" w:type="pct"/>
            <w:shd w:val="clear" w:color="auto" w:fill="92CDDC"/>
          </w:tcPr>
          <w:p w:rsidR="00D947F0" w:rsidRPr="00051DF5" w:rsidRDefault="00D947F0" w:rsidP="00790985">
            <w:pPr>
              <w:rPr>
                <w:rFonts w:asciiTheme="majorHAnsi" w:hAnsiTheme="majorHAnsi"/>
                <w:sz w:val="24"/>
                <w:szCs w:val="24"/>
              </w:rPr>
            </w:pPr>
          </w:p>
        </w:tc>
        <w:tc>
          <w:tcPr>
            <w:tcW w:w="371" w:type="pct"/>
            <w:shd w:val="clear" w:color="auto" w:fill="92CDDC"/>
          </w:tcPr>
          <w:p w:rsidR="00D947F0" w:rsidRPr="00051DF5" w:rsidRDefault="00D947F0" w:rsidP="00790985">
            <w:pPr>
              <w:rPr>
                <w:rFonts w:asciiTheme="majorHAnsi" w:hAnsiTheme="majorHAnsi"/>
                <w:sz w:val="24"/>
                <w:szCs w:val="24"/>
              </w:rPr>
            </w:pPr>
          </w:p>
        </w:tc>
        <w:tc>
          <w:tcPr>
            <w:tcW w:w="363" w:type="pct"/>
            <w:shd w:val="clear" w:color="auto" w:fill="92CDDC"/>
          </w:tcPr>
          <w:p w:rsidR="00D947F0" w:rsidRPr="00051DF5" w:rsidRDefault="00D947F0" w:rsidP="00790985">
            <w:pPr>
              <w:rPr>
                <w:rFonts w:asciiTheme="majorHAnsi" w:hAnsiTheme="majorHAnsi"/>
                <w:sz w:val="24"/>
                <w:szCs w:val="24"/>
              </w:rPr>
            </w:pPr>
          </w:p>
        </w:tc>
        <w:tc>
          <w:tcPr>
            <w:tcW w:w="347" w:type="pct"/>
            <w:shd w:val="clear" w:color="auto" w:fill="92CDDC"/>
          </w:tcPr>
          <w:p w:rsidR="00D947F0" w:rsidRPr="00051DF5" w:rsidRDefault="00D947F0" w:rsidP="00790985">
            <w:pPr>
              <w:rPr>
                <w:rFonts w:asciiTheme="majorHAnsi" w:hAnsiTheme="majorHAnsi"/>
                <w:sz w:val="24"/>
                <w:szCs w:val="24"/>
              </w:rPr>
            </w:pPr>
          </w:p>
        </w:tc>
      </w:tr>
      <w:tr w:rsidR="00D947F0" w:rsidRPr="00051DF5" w:rsidTr="00D947F0">
        <w:tc>
          <w:tcPr>
            <w:tcW w:w="3176" w:type="pct"/>
            <w:shd w:val="clear" w:color="auto" w:fill="FFD5D5"/>
          </w:tcPr>
          <w:p w:rsidR="00D947F0" w:rsidRDefault="00D947F0" w:rsidP="00B24109">
            <w:r>
              <w:t>Biannual national awards program</w:t>
            </w:r>
          </w:p>
        </w:tc>
        <w:tc>
          <w:tcPr>
            <w:tcW w:w="372" w:type="pct"/>
            <w:shd w:val="clear" w:color="auto" w:fill="92CDDC"/>
          </w:tcPr>
          <w:p w:rsidR="00D947F0" w:rsidRPr="00051DF5" w:rsidRDefault="00D947F0" w:rsidP="00790985">
            <w:pPr>
              <w:rPr>
                <w:rFonts w:asciiTheme="majorHAnsi" w:hAnsiTheme="majorHAnsi"/>
                <w:sz w:val="24"/>
                <w:szCs w:val="24"/>
              </w:rPr>
            </w:pPr>
          </w:p>
        </w:tc>
        <w:tc>
          <w:tcPr>
            <w:tcW w:w="371" w:type="pct"/>
          </w:tcPr>
          <w:p w:rsidR="00D947F0" w:rsidRPr="00051DF5" w:rsidRDefault="00D947F0" w:rsidP="00790985">
            <w:pPr>
              <w:rPr>
                <w:rFonts w:asciiTheme="majorHAnsi" w:hAnsiTheme="majorHAnsi"/>
                <w:sz w:val="24"/>
                <w:szCs w:val="24"/>
              </w:rPr>
            </w:pPr>
          </w:p>
        </w:tc>
        <w:tc>
          <w:tcPr>
            <w:tcW w:w="371" w:type="pct"/>
            <w:shd w:val="clear" w:color="auto" w:fill="92CDDC"/>
          </w:tcPr>
          <w:p w:rsidR="00D947F0" w:rsidRPr="00051DF5" w:rsidRDefault="00D947F0" w:rsidP="00790985">
            <w:pPr>
              <w:rPr>
                <w:rFonts w:asciiTheme="majorHAnsi" w:hAnsiTheme="majorHAnsi"/>
                <w:sz w:val="24"/>
                <w:szCs w:val="24"/>
              </w:rPr>
            </w:pPr>
          </w:p>
        </w:tc>
        <w:tc>
          <w:tcPr>
            <w:tcW w:w="363" w:type="pct"/>
          </w:tcPr>
          <w:p w:rsidR="00D947F0" w:rsidRPr="00051DF5" w:rsidRDefault="00D947F0" w:rsidP="00790985">
            <w:pPr>
              <w:rPr>
                <w:rFonts w:asciiTheme="majorHAnsi" w:hAnsiTheme="majorHAnsi"/>
                <w:sz w:val="24"/>
                <w:szCs w:val="24"/>
              </w:rPr>
            </w:pPr>
          </w:p>
        </w:tc>
        <w:tc>
          <w:tcPr>
            <w:tcW w:w="347" w:type="pct"/>
            <w:shd w:val="clear" w:color="auto" w:fill="92CDDC"/>
          </w:tcPr>
          <w:p w:rsidR="00D947F0" w:rsidRPr="00051DF5" w:rsidRDefault="00D947F0" w:rsidP="00790985">
            <w:pPr>
              <w:rPr>
                <w:rFonts w:asciiTheme="majorHAnsi" w:hAnsiTheme="majorHAnsi"/>
                <w:sz w:val="24"/>
                <w:szCs w:val="24"/>
              </w:rPr>
            </w:pPr>
          </w:p>
        </w:tc>
      </w:tr>
      <w:tr w:rsidR="00D947F0" w:rsidRPr="00051DF5" w:rsidTr="00D947F0">
        <w:tc>
          <w:tcPr>
            <w:tcW w:w="3176" w:type="pct"/>
            <w:shd w:val="clear" w:color="auto" w:fill="FFD5D5"/>
          </w:tcPr>
          <w:p w:rsidR="00D947F0" w:rsidRDefault="00D947F0" w:rsidP="00D947F0">
            <w:r>
              <w:t>Australasian conference</w:t>
            </w:r>
          </w:p>
        </w:tc>
        <w:tc>
          <w:tcPr>
            <w:tcW w:w="372" w:type="pct"/>
          </w:tcPr>
          <w:p w:rsidR="00D947F0" w:rsidRPr="00051DF5" w:rsidRDefault="00D947F0" w:rsidP="00790985">
            <w:pPr>
              <w:rPr>
                <w:rFonts w:asciiTheme="majorHAnsi" w:hAnsiTheme="majorHAnsi"/>
                <w:sz w:val="24"/>
                <w:szCs w:val="24"/>
              </w:rPr>
            </w:pPr>
          </w:p>
        </w:tc>
        <w:tc>
          <w:tcPr>
            <w:tcW w:w="371" w:type="pct"/>
          </w:tcPr>
          <w:p w:rsidR="00D947F0" w:rsidRPr="00051DF5" w:rsidRDefault="00D947F0" w:rsidP="00790985">
            <w:pPr>
              <w:rPr>
                <w:rFonts w:asciiTheme="majorHAnsi" w:hAnsiTheme="majorHAnsi"/>
                <w:sz w:val="24"/>
                <w:szCs w:val="24"/>
              </w:rPr>
            </w:pPr>
          </w:p>
        </w:tc>
        <w:tc>
          <w:tcPr>
            <w:tcW w:w="371" w:type="pct"/>
          </w:tcPr>
          <w:p w:rsidR="00D947F0" w:rsidRPr="00051DF5" w:rsidRDefault="00D947F0" w:rsidP="00790985">
            <w:pPr>
              <w:rPr>
                <w:rFonts w:asciiTheme="majorHAnsi" w:hAnsiTheme="majorHAnsi"/>
                <w:sz w:val="24"/>
                <w:szCs w:val="24"/>
              </w:rPr>
            </w:pPr>
          </w:p>
        </w:tc>
        <w:tc>
          <w:tcPr>
            <w:tcW w:w="363" w:type="pct"/>
          </w:tcPr>
          <w:p w:rsidR="00D947F0" w:rsidRPr="00051DF5" w:rsidRDefault="00D947F0" w:rsidP="00790985">
            <w:pPr>
              <w:rPr>
                <w:rFonts w:asciiTheme="majorHAnsi" w:hAnsiTheme="majorHAnsi"/>
                <w:sz w:val="24"/>
                <w:szCs w:val="24"/>
              </w:rPr>
            </w:pPr>
          </w:p>
        </w:tc>
        <w:tc>
          <w:tcPr>
            <w:tcW w:w="347" w:type="pct"/>
          </w:tcPr>
          <w:p w:rsidR="00D947F0" w:rsidRPr="00051DF5" w:rsidRDefault="00D947F0" w:rsidP="00790985">
            <w:pPr>
              <w:rPr>
                <w:rFonts w:asciiTheme="majorHAnsi" w:hAnsiTheme="majorHAnsi"/>
                <w:sz w:val="24"/>
                <w:szCs w:val="24"/>
              </w:rPr>
            </w:pPr>
          </w:p>
        </w:tc>
      </w:tr>
      <w:tr w:rsidR="00D947F0" w:rsidRPr="00D947F0" w:rsidTr="00D947F0">
        <w:tc>
          <w:tcPr>
            <w:tcW w:w="3176" w:type="pct"/>
            <w:shd w:val="clear" w:color="auto" w:fill="FFD5D5"/>
          </w:tcPr>
          <w:p w:rsidR="00D947F0" w:rsidRPr="00D947F0" w:rsidRDefault="00D947F0" w:rsidP="00E24657">
            <w:pPr>
              <w:rPr>
                <w:b/>
              </w:rPr>
            </w:pPr>
            <w:r w:rsidRPr="00D947F0">
              <w:rPr>
                <w:b/>
              </w:rPr>
              <w:lastRenderedPageBreak/>
              <w:t>Addressing Systemic Issues</w:t>
            </w:r>
          </w:p>
        </w:tc>
        <w:tc>
          <w:tcPr>
            <w:tcW w:w="372" w:type="pct"/>
            <w:shd w:val="clear" w:color="auto" w:fill="F2DBDB" w:themeFill="accent2" w:themeFillTint="33"/>
          </w:tcPr>
          <w:p w:rsidR="00D947F0" w:rsidRPr="00D947F0" w:rsidRDefault="00D947F0" w:rsidP="00790985">
            <w:pPr>
              <w:rPr>
                <w:rFonts w:asciiTheme="majorHAnsi" w:hAnsiTheme="majorHAnsi"/>
                <w:b/>
                <w:sz w:val="24"/>
                <w:szCs w:val="24"/>
              </w:rPr>
            </w:pPr>
          </w:p>
        </w:tc>
        <w:tc>
          <w:tcPr>
            <w:tcW w:w="371" w:type="pct"/>
            <w:shd w:val="clear" w:color="auto" w:fill="F2DBDB" w:themeFill="accent2" w:themeFillTint="33"/>
          </w:tcPr>
          <w:p w:rsidR="00D947F0" w:rsidRPr="00D947F0" w:rsidRDefault="00D947F0" w:rsidP="00790985">
            <w:pPr>
              <w:rPr>
                <w:rFonts w:asciiTheme="majorHAnsi" w:hAnsiTheme="majorHAnsi"/>
                <w:b/>
                <w:sz w:val="24"/>
                <w:szCs w:val="24"/>
              </w:rPr>
            </w:pPr>
          </w:p>
        </w:tc>
        <w:tc>
          <w:tcPr>
            <w:tcW w:w="371" w:type="pct"/>
            <w:shd w:val="clear" w:color="auto" w:fill="F2DBDB" w:themeFill="accent2" w:themeFillTint="33"/>
          </w:tcPr>
          <w:p w:rsidR="00D947F0" w:rsidRPr="00D947F0" w:rsidRDefault="00D947F0" w:rsidP="00790985">
            <w:pPr>
              <w:rPr>
                <w:rFonts w:asciiTheme="majorHAnsi" w:hAnsiTheme="majorHAnsi"/>
                <w:b/>
                <w:sz w:val="24"/>
                <w:szCs w:val="24"/>
              </w:rPr>
            </w:pPr>
          </w:p>
        </w:tc>
        <w:tc>
          <w:tcPr>
            <w:tcW w:w="363" w:type="pct"/>
            <w:shd w:val="clear" w:color="auto" w:fill="F2DBDB" w:themeFill="accent2" w:themeFillTint="33"/>
          </w:tcPr>
          <w:p w:rsidR="00D947F0" w:rsidRPr="00D947F0" w:rsidRDefault="00D947F0" w:rsidP="00790985">
            <w:pPr>
              <w:rPr>
                <w:rFonts w:asciiTheme="majorHAnsi" w:hAnsiTheme="majorHAnsi"/>
                <w:b/>
                <w:sz w:val="24"/>
                <w:szCs w:val="24"/>
              </w:rPr>
            </w:pPr>
          </w:p>
        </w:tc>
        <w:tc>
          <w:tcPr>
            <w:tcW w:w="347" w:type="pct"/>
            <w:shd w:val="clear" w:color="auto" w:fill="F2DBDB" w:themeFill="accent2" w:themeFillTint="33"/>
          </w:tcPr>
          <w:p w:rsidR="00D947F0" w:rsidRPr="00D947F0" w:rsidRDefault="00D947F0" w:rsidP="00790985">
            <w:pPr>
              <w:rPr>
                <w:rFonts w:asciiTheme="majorHAnsi" w:hAnsiTheme="majorHAnsi"/>
                <w:b/>
                <w:sz w:val="24"/>
                <w:szCs w:val="24"/>
              </w:rPr>
            </w:pPr>
          </w:p>
        </w:tc>
      </w:tr>
      <w:tr w:rsidR="00D947F0" w:rsidRPr="00051DF5" w:rsidTr="00D947F0">
        <w:tc>
          <w:tcPr>
            <w:tcW w:w="3176" w:type="pct"/>
            <w:shd w:val="clear" w:color="auto" w:fill="FFD5D5"/>
          </w:tcPr>
          <w:p w:rsidR="00D947F0" w:rsidRDefault="00D947F0" w:rsidP="00E24657">
            <w:r>
              <w:t>Identification of systemic issues</w:t>
            </w:r>
          </w:p>
        </w:tc>
        <w:tc>
          <w:tcPr>
            <w:tcW w:w="372" w:type="pct"/>
            <w:shd w:val="clear" w:color="auto" w:fill="92CDDC"/>
          </w:tcPr>
          <w:p w:rsidR="00D947F0" w:rsidRPr="00051DF5" w:rsidRDefault="00D947F0" w:rsidP="00790985">
            <w:pPr>
              <w:rPr>
                <w:rFonts w:asciiTheme="majorHAnsi" w:hAnsiTheme="majorHAnsi"/>
                <w:sz w:val="24"/>
                <w:szCs w:val="24"/>
              </w:rPr>
            </w:pPr>
          </w:p>
        </w:tc>
        <w:tc>
          <w:tcPr>
            <w:tcW w:w="371" w:type="pct"/>
          </w:tcPr>
          <w:p w:rsidR="00D947F0" w:rsidRPr="00051DF5" w:rsidRDefault="00D947F0" w:rsidP="00790985">
            <w:pPr>
              <w:rPr>
                <w:rFonts w:asciiTheme="majorHAnsi" w:hAnsiTheme="majorHAnsi"/>
                <w:sz w:val="24"/>
                <w:szCs w:val="24"/>
              </w:rPr>
            </w:pPr>
          </w:p>
        </w:tc>
        <w:tc>
          <w:tcPr>
            <w:tcW w:w="371" w:type="pct"/>
          </w:tcPr>
          <w:p w:rsidR="00D947F0" w:rsidRPr="00051DF5" w:rsidRDefault="00D947F0" w:rsidP="00790985">
            <w:pPr>
              <w:rPr>
                <w:rFonts w:asciiTheme="majorHAnsi" w:hAnsiTheme="majorHAnsi"/>
                <w:sz w:val="24"/>
                <w:szCs w:val="24"/>
              </w:rPr>
            </w:pPr>
          </w:p>
        </w:tc>
        <w:tc>
          <w:tcPr>
            <w:tcW w:w="363" w:type="pct"/>
          </w:tcPr>
          <w:p w:rsidR="00D947F0" w:rsidRPr="00051DF5" w:rsidRDefault="00D947F0" w:rsidP="00790985">
            <w:pPr>
              <w:rPr>
                <w:rFonts w:asciiTheme="majorHAnsi" w:hAnsiTheme="majorHAnsi"/>
                <w:sz w:val="24"/>
                <w:szCs w:val="24"/>
              </w:rPr>
            </w:pPr>
          </w:p>
        </w:tc>
        <w:tc>
          <w:tcPr>
            <w:tcW w:w="347" w:type="pct"/>
          </w:tcPr>
          <w:p w:rsidR="00D947F0" w:rsidRPr="00051DF5" w:rsidRDefault="00D947F0" w:rsidP="00790985">
            <w:pPr>
              <w:rPr>
                <w:rFonts w:asciiTheme="majorHAnsi" w:hAnsiTheme="majorHAnsi"/>
                <w:sz w:val="24"/>
                <w:szCs w:val="24"/>
              </w:rPr>
            </w:pPr>
          </w:p>
        </w:tc>
      </w:tr>
      <w:tr w:rsidR="00D947F0" w:rsidRPr="00051DF5" w:rsidTr="00D947F0">
        <w:tc>
          <w:tcPr>
            <w:tcW w:w="3176" w:type="pct"/>
            <w:shd w:val="clear" w:color="auto" w:fill="FFD5D5"/>
          </w:tcPr>
          <w:p w:rsidR="00D947F0" w:rsidRDefault="00D947F0" w:rsidP="00D947F0">
            <w:r>
              <w:t xml:space="preserve">Review </w:t>
            </w:r>
            <w:r w:rsidR="00E24657">
              <w:t xml:space="preserve">and improve </w:t>
            </w:r>
            <w:r>
              <w:t>product transfer arrangements</w:t>
            </w:r>
          </w:p>
        </w:tc>
        <w:tc>
          <w:tcPr>
            <w:tcW w:w="372" w:type="pct"/>
          </w:tcPr>
          <w:p w:rsidR="00D947F0" w:rsidRPr="00051DF5" w:rsidRDefault="00D947F0" w:rsidP="00790985">
            <w:pPr>
              <w:rPr>
                <w:rFonts w:asciiTheme="majorHAnsi" w:hAnsiTheme="majorHAnsi"/>
                <w:sz w:val="24"/>
                <w:szCs w:val="24"/>
              </w:rPr>
            </w:pPr>
          </w:p>
        </w:tc>
        <w:tc>
          <w:tcPr>
            <w:tcW w:w="371" w:type="pct"/>
            <w:shd w:val="clear" w:color="auto" w:fill="92CDDC"/>
          </w:tcPr>
          <w:p w:rsidR="00D947F0" w:rsidRPr="00051DF5" w:rsidRDefault="00D947F0" w:rsidP="00790985">
            <w:pPr>
              <w:rPr>
                <w:rFonts w:asciiTheme="majorHAnsi" w:hAnsiTheme="majorHAnsi"/>
                <w:sz w:val="24"/>
                <w:szCs w:val="24"/>
              </w:rPr>
            </w:pPr>
          </w:p>
        </w:tc>
        <w:tc>
          <w:tcPr>
            <w:tcW w:w="371" w:type="pct"/>
          </w:tcPr>
          <w:p w:rsidR="00D947F0" w:rsidRPr="00051DF5" w:rsidRDefault="00D947F0" w:rsidP="00790985">
            <w:pPr>
              <w:rPr>
                <w:rFonts w:asciiTheme="majorHAnsi" w:hAnsiTheme="majorHAnsi"/>
                <w:sz w:val="24"/>
                <w:szCs w:val="24"/>
              </w:rPr>
            </w:pPr>
          </w:p>
        </w:tc>
        <w:tc>
          <w:tcPr>
            <w:tcW w:w="363" w:type="pct"/>
          </w:tcPr>
          <w:p w:rsidR="00D947F0" w:rsidRPr="00051DF5" w:rsidRDefault="00D947F0" w:rsidP="00790985">
            <w:pPr>
              <w:rPr>
                <w:rFonts w:asciiTheme="majorHAnsi" w:hAnsiTheme="majorHAnsi"/>
                <w:sz w:val="24"/>
                <w:szCs w:val="24"/>
              </w:rPr>
            </w:pPr>
          </w:p>
        </w:tc>
        <w:tc>
          <w:tcPr>
            <w:tcW w:w="347" w:type="pct"/>
          </w:tcPr>
          <w:p w:rsidR="00D947F0" w:rsidRPr="00051DF5" w:rsidRDefault="00D947F0" w:rsidP="00790985">
            <w:pPr>
              <w:rPr>
                <w:rFonts w:asciiTheme="majorHAnsi" w:hAnsiTheme="majorHAnsi"/>
                <w:sz w:val="24"/>
                <w:szCs w:val="24"/>
              </w:rPr>
            </w:pPr>
          </w:p>
        </w:tc>
      </w:tr>
      <w:tr w:rsidR="00D947F0" w:rsidRPr="00051DF5" w:rsidTr="00D947F0">
        <w:tc>
          <w:tcPr>
            <w:tcW w:w="3176" w:type="pct"/>
            <w:shd w:val="clear" w:color="auto" w:fill="FFD5D5"/>
          </w:tcPr>
          <w:p w:rsidR="00D947F0" w:rsidRDefault="00D947F0" w:rsidP="00D947F0">
            <w:r>
              <w:t xml:space="preserve">Use of thawed </w:t>
            </w:r>
            <w:r w:rsidR="00E24657">
              <w:t xml:space="preserve">clinical </w:t>
            </w:r>
            <w:r>
              <w:t>fresh frozen plasma</w:t>
            </w:r>
          </w:p>
        </w:tc>
        <w:tc>
          <w:tcPr>
            <w:tcW w:w="372" w:type="pct"/>
          </w:tcPr>
          <w:p w:rsidR="00D947F0" w:rsidRPr="00051DF5" w:rsidRDefault="00D947F0" w:rsidP="00790985">
            <w:pPr>
              <w:rPr>
                <w:rFonts w:asciiTheme="majorHAnsi" w:hAnsiTheme="majorHAnsi"/>
                <w:sz w:val="24"/>
                <w:szCs w:val="24"/>
              </w:rPr>
            </w:pPr>
          </w:p>
        </w:tc>
        <w:tc>
          <w:tcPr>
            <w:tcW w:w="371" w:type="pct"/>
            <w:shd w:val="clear" w:color="auto" w:fill="92CDDC"/>
          </w:tcPr>
          <w:p w:rsidR="00D947F0" w:rsidRPr="00051DF5" w:rsidRDefault="00D947F0" w:rsidP="00790985">
            <w:pPr>
              <w:rPr>
                <w:rFonts w:asciiTheme="majorHAnsi" w:hAnsiTheme="majorHAnsi"/>
                <w:sz w:val="24"/>
                <w:szCs w:val="24"/>
              </w:rPr>
            </w:pPr>
          </w:p>
        </w:tc>
        <w:tc>
          <w:tcPr>
            <w:tcW w:w="371" w:type="pct"/>
          </w:tcPr>
          <w:p w:rsidR="00D947F0" w:rsidRPr="00051DF5" w:rsidRDefault="00D947F0" w:rsidP="00790985">
            <w:pPr>
              <w:rPr>
                <w:rFonts w:asciiTheme="majorHAnsi" w:hAnsiTheme="majorHAnsi"/>
                <w:sz w:val="24"/>
                <w:szCs w:val="24"/>
              </w:rPr>
            </w:pPr>
          </w:p>
        </w:tc>
        <w:tc>
          <w:tcPr>
            <w:tcW w:w="363" w:type="pct"/>
          </w:tcPr>
          <w:p w:rsidR="00D947F0" w:rsidRPr="00051DF5" w:rsidRDefault="00D947F0" w:rsidP="00790985">
            <w:pPr>
              <w:rPr>
                <w:rFonts w:asciiTheme="majorHAnsi" w:hAnsiTheme="majorHAnsi"/>
                <w:sz w:val="24"/>
                <w:szCs w:val="24"/>
              </w:rPr>
            </w:pPr>
          </w:p>
        </w:tc>
        <w:tc>
          <w:tcPr>
            <w:tcW w:w="347" w:type="pct"/>
          </w:tcPr>
          <w:p w:rsidR="00D947F0" w:rsidRPr="00051DF5" w:rsidRDefault="00D947F0" w:rsidP="00790985">
            <w:pPr>
              <w:rPr>
                <w:rFonts w:asciiTheme="majorHAnsi" w:hAnsiTheme="majorHAnsi"/>
                <w:sz w:val="24"/>
                <w:szCs w:val="24"/>
              </w:rPr>
            </w:pPr>
          </w:p>
        </w:tc>
      </w:tr>
      <w:tr w:rsidR="00892687" w:rsidRPr="00051DF5" w:rsidTr="000B6001">
        <w:tc>
          <w:tcPr>
            <w:tcW w:w="3176" w:type="pct"/>
            <w:shd w:val="clear" w:color="auto" w:fill="FFD5D5"/>
          </w:tcPr>
          <w:p w:rsidR="00892687" w:rsidRDefault="00892687" w:rsidP="000B6001">
            <w:r>
              <w:t xml:space="preserve">Examination of alternatives to current packaging arrangements for clinical fresh frozen plasma </w:t>
            </w:r>
          </w:p>
        </w:tc>
        <w:tc>
          <w:tcPr>
            <w:tcW w:w="372" w:type="pct"/>
          </w:tcPr>
          <w:p w:rsidR="00892687" w:rsidRPr="00051DF5" w:rsidRDefault="00892687" w:rsidP="000B6001">
            <w:pPr>
              <w:rPr>
                <w:rFonts w:asciiTheme="majorHAnsi" w:hAnsiTheme="majorHAnsi"/>
                <w:sz w:val="24"/>
                <w:szCs w:val="24"/>
              </w:rPr>
            </w:pPr>
          </w:p>
        </w:tc>
        <w:tc>
          <w:tcPr>
            <w:tcW w:w="371" w:type="pct"/>
            <w:shd w:val="clear" w:color="auto" w:fill="92CDDC"/>
          </w:tcPr>
          <w:p w:rsidR="00892687" w:rsidRPr="00051DF5" w:rsidRDefault="00892687" w:rsidP="000B6001">
            <w:pPr>
              <w:rPr>
                <w:rFonts w:asciiTheme="majorHAnsi" w:hAnsiTheme="majorHAnsi"/>
                <w:sz w:val="24"/>
                <w:szCs w:val="24"/>
              </w:rPr>
            </w:pPr>
          </w:p>
        </w:tc>
        <w:tc>
          <w:tcPr>
            <w:tcW w:w="371" w:type="pct"/>
          </w:tcPr>
          <w:p w:rsidR="00892687" w:rsidRPr="00051DF5" w:rsidRDefault="00892687" w:rsidP="000B6001">
            <w:pPr>
              <w:rPr>
                <w:rFonts w:asciiTheme="majorHAnsi" w:hAnsiTheme="majorHAnsi"/>
                <w:sz w:val="24"/>
                <w:szCs w:val="24"/>
              </w:rPr>
            </w:pPr>
          </w:p>
        </w:tc>
        <w:tc>
          <w:tcPr>
            <w:tcW w:w="363" w:type="pct"/>
          </w:tcPr>
          <w:p w:rsidR="00892687" w:rsidRPr="00051DF5" w:rsidRDefault="00892687" w:rsidP="000B6001">
            <w:pPr>
              <w:rPr>
                <w:rFonts w:asciiTheme="majorHAnsi" w:hAnsiTheme="majorHAnsi"/>
                <w:sz w:val="24"/>
                <w:szCs w:val="24"/>
              </w:rPr>
            </w:pPr>
          </w:p>
        </w:tc>
        <w:tc>
          <w:tcPr>
            <w:tcW w:w="347" w:type="pct"/>
          </w:tcPr>
          <w:p w:rsidR="00892687" w:rsidRPr="00051DF5" w:rsidRDefault="00892687" w:rsidP="000B6001">
            <w:pPr>
              <w:rPr>
                <w:rFonts w:asciiTheme="majorHAnsi" w:hAnsiTheme="majorHAnsi"/>
                <w:sz w:val="24"/>
                <w:szCs w:val="24"/>
              </w:rPr>
            </w:pPr>
          </w:p>
        </w:tc>
      </w:tr>
      <w:tr w:rsidR="00F811BF" w:rsidRPr="00051DF5" w:rsidTr="005D7A91">
        <w:tc>
          <w:tcPr>
            <w:tcW w:w="3176" w:type="pct"/>
            <w:shd w:val="clear" w:color="auto" w:fill="FFD5D5"/>
          </w:tcPr>
          <w:p w:rsidR="00F811BF" w:rsidRDefault="00F811BF" w:rsidP="00F811BF">
            <w:r>
              <w:t>Review supply chain matters affecting the length of expiry of Platelets on issue of units to health providers</w:t>
            </w:r>
          </w:p>
        </w:tc>
        <w:tc>
          <w:tcPr>
            <w:tcW w:w="372" w:type="pct"/>
          </w:tcPr>
          <w:p w:rsidR="00F811BF" w:rsidRPr="00051DF5" w:rsidRDefault="00F811BF" w:rsidP="005D7A91">
            <w:pPr>
              <w:rPr>
                <w:rFonts w:asciiTheme="majorHAnsi" w:hAnsiTheme="majorHAnsi"/>
                <w:sz w:val="24"/>
                <w:szCs w:val="24"/>
              </w:rPr>
            </w:pPr>
          </w:p>
        </w:tc>
        <w:tc>
          <w:tcPr>
            <w:tcW w:w="371" w:type="pct"/>
            <w:shd w:val="clear" w:color="auto" w:fill="92CDDC"/>
          </w:tcPr>
          <w:p w:rsidR="00F811BF" w:rsidRPr="00051DF5" w:rsidRDefault="00F811BF" w:rsidP="005D7A91">
            <w:pPr>
              <w:rPr>
                <w:rFonts w:asciiTheme="majorHAnsi" w:hAnsiTheme="majorHAnsi"/>
                <w:sz w:val="24"/>
                <w:szCs w:val="24"/>
              </w:rPr>
            </w:pPr>
          </w:p>
        </w:tc>
        <w:tc>
          <w:tcPr>
            <w:tcW w:w="371" w:type="pct"/>
          </w:tcPr>
          <w:p w:rsidR="00F811BF" w:rsidRPr="00051DF5" w:rsidRDefault="00F811BF" w:rsidP="005D7A91">
            <w:pPr>
              <w:rPr>
                <w:rFonts w:asciiTheme="majorHAnsi" w:hAnsiTheme="majorHAnsi"/>
                <w:sz w:val="24"/>
                <w:szCs w:val="24"/>
              </w:rPr>
            </w:pPr>
          </w:p>
        </w:tc>
        <w:tc>
          <w:tcPr>
            <w:tcW w:w="363" w:type="pct"/>
          </w:tcPr>
          <w:p w:rsidR="00F811BF" w:rsidRPr="00051DF5" w:rsidRDefault="00F811BF" w:rsidP="005D7A91">
            <w:pPr>
              <w:rPr>
                <w:rFonts w:asciiTheme="majorHAnsi" w:hAnsiTheme="majorHAnsi"/>
                <w:sz w:val="24"/>
                <w:szCs w:val="24"/>
              </w:rPr>
            </w:pPr>
          </w:p>
        </w:tc>
        <w:tc>
          <w:tcPr>
            <w:tcW w:w="347" w:type="pct"/>
          </w:tcPr>
          <w:p w:rsidR="00F811BF" w:rsidRPr="00051DF5" w:rsidRDefault="00F811BF" w:rsidP="005D7A91">
            <w:pPr>
              <w:rPr>
                <w:rFonts w:asciiTheme="majorHAnsi" w:hAnsiTheme="majorHAnsi"/>
                <w:sz w:val="24"/>
                <w:szCs w:val="24"/>
              </w:rPr>
            </w:pPr>
          </w:p>
        </w:tc>
      </w:tr>
      <w:tr w:rsidR="00D947F0" w:rsidRPr="00051DF5" w:rsidTr="00D947F0">
        <w:tc>
          <w:tcPr>
            <w:tcW w:w="3176" w:type="pct"/>
            <w:shd w:val="clear" w:color="auto" w:fill="FFD5D5"/>
          </w:tcPr>
          <w:p w:rsidR="00D947F0" w:rsidRPr="00D947F0" w:rsidRDefault="00D947F0" w:rsidP="00D947F0">
            <w:pPr>
              <w:rPr>
                <w:b/>
              </w:rPr>
            </w:pPr>
            <w:r>
              <w:rPr>
                <w:b/>
              </w:rPr>
              <w:t>Promotional Campaigns</w:t>
            </w:r>
          </w:p>
        </w:tc>
        <w:tc>
          <w:tcPr>
            <w:tcW w:w="372" w:type="pct"/>
            <w:shd w:val="clear" w:color="auto" w:fill="F2DBDB" w:themeFill="accent2" w:themeFillTint="33"/>
          </w:tcPr>
          <w:p w:rsidR="00D947F0" w:rsidRPr="00051DF5" w:rsidRDefault="00D947F0" w:rsidP="00790985">
            <w:pPr>
              <w:rPr>
                <w:rFonts w:asciiTheme="majorHAnsi" w:hAnsiTheme="majorHAnsi"/>
                <w:sz w:val="24"/>
                <w:szCs w:val="24"/>
              </w:rPr>
            </w:pPr>
          </w:p>
        </w:tc>
        <w:tc>
          <w:tcPr>
            <w:tcW w:w="371" w:type="pct"/>
            <w:shd w:val="clear" w:color="auto" w:fill="F2DBDB" w:themeFill="accent2" w:themeFillTint="33"/>
          </w:tcPr>
          <w:p w:rsidR="00D947F0" w:rsidRPr="00051DF5" w:rsidRDefault="00D947F0" w:rsidP="00790985">
            <w:pPr>
              <w:rPr>
                <w:rFonts w:asciiTheme="majorHAnsi" w:hAnsiTheme="majorHAnsi"/>
                <w:sz w:val="24"/>
                <w:szCs w:val="24"/>
              </w:rPr>
            </w:pPr>
          </w:p>
        </w:tc>
        <w:tc>
          <w:tcPr>
            <w:tcW w:w="371" w:type="pct"/>
            <w:shd w:val="clear" w:color="auto" w:fill="F2DBDB" w:themeFill="accent2" w:themeFillTint="33"/>
          </w:tcPr>
          <w:p w:rsidR="00D947F0" w:rsidRPr="00051DF5" w:rsidRDefault="00D947F0" w:rsidP="00790985">
            <w:pPr>
              <w:rPr>
                <w:rFonts w:asciiTheme="majorHAnsi" w:hAnsiTheme="majorHAnsi"/>
                <w:sz w:val="24"/>
                <w:szCs w:val="24"/>
              </w:rPr>
            </w:pPr>
          </w:p>
        </w:tc>
        <w:tc>
          <w:tcPr>
            <w:tcW w:w="363" w:type="pct"/>
            <w:shd w:val="clear" w:color="auto" w:fill="F2DBDB" w:themeFill="accent2" w:themeFillTint="33"/>
          </w:tcPr>
          <w:p w:rsidR="00D947F0" w:rsidRPr="00051DF5" w:rsidRDefault="00D947F0" w:rsidP="00790985">
            <w:pPr>
              <w:rPr>
                <w:rFonts w:asciiTheme="majorHAnsi" w:hAnsiTheme="majorHAnsi"/>
                <w:sz w:val="24"/>
                <w:szCs w:val="24"/>
              </w:rPr>
            </w:pPr>
          </w:p>
        </w:tc>
        <w:tc>
          <w:tcPr>
            <w:tcW w:w="347" w:type="pct"/>
            <w:shd w:val="clear" w:color="auto" w:fill="F2DBDB" w:themeFill="accent2" w:themeFillTint="33"/>
          </w:tcPr>
          <w:p w:rsidR="00D947F0" w:rsidRPr="00051DF5" w:rsidRDefault="00D947F0" w:rsidP="00790985">
            <w:pPr>
              <w:rPr>
                <w:rFonts w:asciiTheme="majorHAnsi" w:hAnsiTheme="majorHAnsi"/>
                <w:sz w:val="24"/>
                <w:szCs w:val="24"/>
              </w:rPr>
            </w:pPr>
          </w:p>
        </w:tc>
      </w:tr>
      <w:tr w:rsidR="00D947F0" w:rsidRPr="00051DF5" w:rsidTr="00D947F0">
        <w:tc>
          <w:tcPr>
            <w:tcW w:w="3176" w:type="pct"/>
            <w:shd w:val="clear" w:color="auto" w:fill="FFD5D5"/>
          </w:tcPr>
          <w:p w:rsidR="00D947F0" w:rsidRPr="00D947F0" w:rsidRDefault="00D947F0" w:rsidP="00D947F0">
            <w:r>
              <w:t>Private sector wastage campaign</w:t>
            </w:r>
          </w:p>
        </w:tc>
        <w:tc>
          <w:tcPr>
            <w:tcW w:w="372" w:type="pct"/>
            <w:shd w:val="clear" w:color="auto" w:fill="92CDDC"/>
          </w:tcPr>
          <w:p w:rsidR="00D947F0" w:rsidRPr="00051DF5" w:rsidRDefault="00D947F0" w:rsidP="00790985">
            <w:pPr>
              <w:rPr>
                <w:rFonts w:asciiTheme="majorHAnsi" w:hAnsiTheme="majorHAnsi"/>
                <w:sz w:val="24"/>
                <w:szCs w:val="24"/>
              </w:rPr>
            </w:pPr>
          </w:p>
        </w:tc>
        <w:tc>
          <w:tcPr>
            <w:tcW w:w="371" w:type="pct"/>
            <w:shd w:val="clear" w:color="auto" w:fill="92CDDC"/>
          </w:tcPr>
          <w:p w:rsidR="00D947F0" w:rsidRPr="00051DF5" w:rsidRDefault="00D947F0" w:rsidP="00790985">
            <w:pPr>
              <w:rPr>
                <w:rFonts w:asciiTheme="majorHAnsi" w:hAnsiTheme="majorHAnsi"/>
                <w:sz w:val="24"/>
                <w:szCs w:val="24"/>
              </w:rPr>
            </w:pPr>
          </w:p>
        </w:tc>
        <w:tc>
          <w:tcPr>
            <w:tcW w:w="371" w:type="pct"/>
            <w:shd w:val="clear" w:color="auto" w:fill="92CDDC"/>
          </w:tcPr>
          <w:p w:rsidR="00D947F0" w:rsidRPr="00051DF5" w:rsidRDefault="00D947F0" w:rsidP="00790985">
            <w:pPr>
              <w:rPr>
                <w:rFonts w:asciiTheme="majorHAnsi" w:hAnsiTheme="majorHAnsi"/>
                <w:sz w:val="24"/>
                <w:szCs w:val="24"/>
              </w:rPr>
            </w:pPr>
          </w:p>
        </w:tc>
        <w:tc>
          <w:tcPr>
            <w:tcW w:w="363" w:type="pct"/>
            <w:shd w:val="clear" w:color="auto" w:fill="92CDDC"/>
          </w:tcPr>
          <w:p w:rsidR="00D947F0" w:rsidRPr="00051DF5" w:rsidRDefault="00D947F0" w:rsidP="00790985">
            <w:pPr>
              <w:rPr>
                <w:rFonts w:asciiTheme="majorHAnsi" w:hAnsiTheme="majorHAnsi"/>
                <w:sz w:val="24"/>
                <w:szCs w:val="24"/>
              </w:rPr>
            </w:pPr>
          </w:p>
        </w:tc>
        <w:tc>
          <w:tcPr>
            <w:tcW w:w="347" w:type="pct"/>
            <w:shd w:val="clear" w:color="auto" w:fill="92CDDC"/>
          </w:tcPr>
          <w:p w:rsidR="00D947F0" w:rsidRPr="00051DF5" w:rsidRDefault="00D947F0" w:rsidP="00790985">
            <w:pPr>
              <w:rPr>
                <w:rFonts w:asciiTheme="majorHAnsi" w:hAnsiTheme="majorHAnsi"/>
                <w:sz w:val="24"/>
                <w:szCs w:val="24"/>
              </w:rPr>
            </w:pPr>
          </w:p>
        </w:tc>
      </w:tr>
    </w:tbl>
    <w:p w:rsidR="009756D6" w:rsidRDefault="009756D6" w:rsidP="009756D6"/>
    <w:p w:rsidR="005135CD" w:rsidRPr="009B6EC2" w:rsidRDefault="005135CD" w:rsidP="009B6EC2">
      <w:pPr>
        <w:spacing w:after="0"/>
        <w:rPr>
          <w:rFonts w:ascii="Arial" w:hAnsi="Arial" w:cs="Arial"/>
          <w:b/>
          <w:sz w:val="24"/>
          <w:szCs w:val="24"/>
        </w:rPr>
        <w:sectPr w:rsidR="005135CD" w:rsidRPr="009B6EC2" w:rsidSect="007F381B">
          <w:headerReference w:type="even" r:id="rId14"/>
          <w:headerReference w:type="default" r:id="rId15"/>
          <w:footerReference w:type="even" r:id="rId16"/>
          <w:footerReference w:type="default" r:id="rId17"/>
          <w:headerReference w:type="first" r:id="rId18"/>
          <w:footerReference w:type="first" r:id="rId19"/>
          <w:pgSz w:w="11907" w:h="16839" w:code="9"/>
          <w:pgMar w:top="1134" w:right="1608" w:bottom="1560" w:left="1080" w:header="720" w:footer="720" w:gutter="0"/>
          <w:pgNumType w:start="0"/>
          <w:cols w:space="720"/>
          <w:docGrid w:linePitch="360"/>
        </w:sectPr>
      </w:pPr>
    </w:p>
    <w:p w:rsidR="0076194F" w:rsidRPr="00C720AA" w:rsidRDefault="00270DA6" w:rsidP="00270DA6">
      <w:pPr>
        <w:ind w:right="-562"/>
      </w:pPr>
      <w:r>
        <w:rPr>
          <w:noProof/>
          <w:lang w:eastAsia="en-AU"/>
        </w:rPr>
        <w:lastRenderedPageBreak/>
        <w:drawing>
          <wp:anchor distT="0" distB="0" distL="114300" distR="114300" simplePos="0" relativeHeight="251698176" behindDoc="0" locked="0" layoutInCell="1" allowOverlap="1" wp14:anchorId="096049CB" wp14:editId="4DFBA545">
            <wp:simplePos x="0" y="0"/>
            <wp:positionH relativeFrom="margin">
              <wp:posOffset>1869440</wp:posOffset>
            </wp:positionH>
            <wp:positionV relativeFrom="margin">
              <wp:posOffset>8479790</wp:posOffset>
            </wp:positionV>
            <wp:extent cx="2870835" cy="535940"/>
            <wp:effectExtent l="0" t="0" r="5715" b="0"/>
            <wp:wrapSquare wrapText="bothSides"/>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mono_rev_small.png"/>
                    <pic:cNvPicPr/>
                  </pic:nvPicPr>
                  <pic:blipFill>
                    <a:blip r:embed="rId20">
                      <a:extLst>
                        <a:ext uri="{28A0092B-C50C-407E-A947-70E740481C1C}">
                          <a14:useLocalDpi xmlns:a14="http://schemas.microsoft.com/office/drawing/2010/main" val="0"/>
                        </a:ext>
                      </a:extLst>
                    </a:blip>
                    <a:stretch>
                      <a:fillRect/>
                    </a:stretch>
                  </pic:blipFill>
                  <pic:spPr>
                    <a:xfrm>
                      <a:off x="0" y="0"/>
                      <a:ext cx="2870835" cy="535940"/>
                    </a:xfrm>
                    <a:prstGeom prst="rect">
                      <a:avLst/>
                    </a:prstGeom>
                  </pic:spPr>
                </pic:pic>
              </a:graphicData>
            </a:graphic>
          </wp:anchor>
        </w:drawing>
      </w:r>
      <w:r w:rsidR="004D3721">
        <w:rPr>
          <w:noProof/>
          <w:lang w:eastAsia="en-AU"/>
        </w:rPr>
        <mc:AlternateContent>
          <mc:Choice Requires="wps">
            <w:drawing>
              <wp:anchor distT="0" distB="0" distL="114300" distR="114300" simplePos="0" relativeHeight="251680768" behindDoc="1" locked="0" layoutInCell="1" allowOverlap="1" wp14:anchorId="4A002E91" wp14:editId="04075D1A">
                <wp:simplePos x="0" y="0"/>
                <wp:positionH relativeFrom="column">
                  <wp:posOffset>-676275</wp:posOffset>
                </wp:positionH>
                <wp:positionV relativeFrom="paragraph">
                  <wp:posOffset>-800735</wp:posOffset>
                </wp:positionV>
                <wp:extent cx="7572375" cy="10687050"/>
                <wp:effectExtent l="0" t="0" r="9525" b="0"/>
                <wp:wrapNone/>
                <wp:docPr id="26" name="Rectangle 26"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2375" cy="10687050"/>
                        </a:xfrm>
                        <a:prstGeom prst="rect">
                          <a:avLst/>
                        </a:prstGeom>
                        <a:solidFill>
                          <a:srgbClr val="0053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alt="&quot;&quot;" style="position:absolute;margin-left:-53.25pt;margin-top:-63.05pt;width:596.25pt;height:84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" fillcolor="#005374" stroked="f" strokeweight="2pt">
                <v:path arrowok="t"/>
              </v:rect>
            </w:pict>
          </mc:Fallback>
        </mc:AlternateContent>
      </w:r>
    </w:p>
    <w:sectPr w:rsidR="0076194F" w:rsidRPr="00C720AA" w:rsidSect="00922E79">
      <w:headerReference w:type="first" r:id="rId21"/>
      <w:footerReference w:type="first" r:id="rId22"/>
      <w:pgSz w:w="11907" w:h="16839" w:code="9"/>
      <w:pgMar w:top="1276" w:right="1608" w:bottom="1080" w:left="108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68" w:rsidRDefault="00DC0168" w:rsidP="009960EE">
      <w:r>
        <w:separator/>
      </w:r>
    </w:p>
  </w:endnote>
  <w:endnote w:type="continuationSeparator" w:id="0">
    <w:p w:rsidR="00DC0168" w:rsidRDefault="00DC0168" w:rsidP="0099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9A" w:rsidRDefault="00706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F6" w:rsidRDefault="004D3721" w:rsidP="009960EE">
    <w:pPr>
      <w:pStyle w:val="Footer"/>
    </w:pPr>
    <w:r>
      <w:rPr>
        <w:noProof/>
        <w:lang w:eastAsia="en-AU"/>
      </w:rPr>
      <mc:AlternateContent>
        <mc:Choice Requires="wps">
          <w:drawing>
            <wp:anchor distT="0" distB="0" distL="114300" distR="114300" simplePos="0" relativeHeight="251657728" behindDoc="0" locked="1" layoutInCell="1" allowOverlap="1" wp14:anchorId="29C718E0" wp14:editId="561220D1">
              <wp:simplePos x="0" y="0"/>
              <wp:positionH relativeFrom="rightMargin">
                <wp:posOffset>331470</wp:posOffset>
              </wp:positionH>
              <wp:positionV relativeFrom="bottomMargin">
                <wp:posOffset>0</wp:posOffset>
              </wp:positionV>
              <wp:extent cx="518160" cy="396240"/>
              <wp:effectExtent l="0" t="0" r="0" b="3810"/>
              <wp:wrapNone/>
              <wp:docPr id="2" name="Text Box 6"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5F6" w:rsidRPr="001F5B7D" w:rsidRDefault="00ED653D" w:rsidP="009960EE">
                          <w:pPr>
                            <w:pStyle w:val="Subtitle"/>
                            <w:rPr>
                              <w:color w:val="005374"/>
                              <w:sz w:val="24"/>
                              <w:szCs w:val="24"/>
                            </w:rPr>
                          </w:pPr>
                          <w:r w:rsidRPr="001F5B7D">
                            <w:rPr>
                              <w:color w:val="005374"/>
                              <w:sz w:val="24"/>
                              <w:szCs w:val="24"/>
                            </w:rPr>
                            <w:fldChar w:fldCharType="begin"/>
                          </w:r>
                          <w:r w:rsidR="007645F6" w:rsidRPr="001F5B7D">
                            <w:rPr>
                              <w:color w:val="005374"/>
                              <w:sz w:val="24"/>
                              <w:szCs w:val="24"/>
                            </w:rPr>
                            <w:instrText xml:space="preserve"> PAGE  \* Arabic  \* MERGEFORMAT </w:instrText>
                          </w:r>
                          <w:r w:rsidRPr="001F5B7D">
                            <w:rPr>
                              <w:color w:val="005374"/>
                              <w:sz w:val="24"/>
                              <w:szCs w:val="24"/>
                            </w:rPr>
                            <w:fldChar w:fldCharType="separate"/>
                          </w:r>
                          <w:r w:rsidR="00731F95">
                            <w:rPr>
                              <w:noProof/>
                              <w:color w:val="005374"/>
                              <w:sz w:val="24"/>
                              <w:szCs w:val="24"/>
                            </w:rPr>
                            <w:t>0</w:t>
                          </w:r>
                          <w:r w:rsidRPr="001F5B7D">
                            <w:rPr>
                              <w:color w:val="005374"/>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alt="&quot;&quot;" style="position:absolute;margin-left:26.1pt;margin-top:0;width:40.8pt;height:31.2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" filled="f" stroked="f">
              <v:textbox>
                <w:txbxContent>
                  <w:p w:rsidR="007645F6" w:rsidRPr="001F5B7D" w:rsidRDefault="00ED653D" w:rsidP="009960EE">
                    <w:pPr>
                      <w:pStyle w:val="Subtitle"/>
                      <w:rPr>
                        <w:color w:val="005374"/>
                        <w:sz w:val="24"/>
                        <w:szCs w:val="24"/>
                      </w:rPr>
                    </w:pPr>
                    <w:r w:rsidRPr="001F5B7D">
                      <w:rPr>
                        <w:color w:val="005374"/>
                        <w:sz w:val="24"/>
                        <w:szCs w:val="24"/>
                      </w:rPr>
                      <w:fldChar w:fldCharType="begin"/>
                    </w:r>
                    <w:r w:rsidR="007645F6" w:rsidRPr="001F5B7D">
                      <w:rPr>
                        <w:color w:val="005374"/>
                        <w:sz w:val="24"/>
                        <w:szCs w:val="24"/>
                      </w:rPr>
                      <w:instrText xml:space="preserve"> PAGE  \* Arabic  \* MERGEFORMAT </w:instrText>
                    </w:r>
                    <w:r w:rsidRPr="001F5B7D">
                      <w:rPr>
                        <w:color w:val="005374"/>
                        <w:sz w:val="24"/>
                        <w:szCs w:val="24"/>
                      </w:rPr>
                      <w:fldChar w:fldCharType="separate"/>
                    </w:r>
                    <w:r w:rsidR="00731F95">
                      <w:rPr>
                        <w:noProof/>
                        <w:color w:val="005374"/>
                        <w:sz w:val="24"/>
                        <w:szCs w:val="24"/>
                      </w:rPr>
                      <w:t>0</w:t>
                    </w:r>
                    <w:r w:rsidRPr="001F5B7D">
                      <w:rPr>
                        <w:color w:val="005374"/>
                        <w:sz w:val="24"/>
                        <w:szCs w:val="24"/>
                      </w:rPr>
                      <w:fldChar w:fldCharType="end"/>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56704" behindDoc="0" locked="1" layoutInCell="1" allowOverlap="1" wp14:anchorId="1081CACB" wp14:editId="5E4D918E">
              <wp:simplePos x="0" y="0"/>
              <wp:positionH relativeFrom="rightMargin">
                <wp:posOffset>215900</wp:posOffset>
              </wp:positionH>
              <wp:positionV relativeFrom="bottomMargin">
                <wp:posOffset>-1980565</wp:posOffset>
              </wp:positionV>
              <wp:extent cx="129540" cy="2520315"/>
              <wp:effectExtent l="19050" t="19050" r="22860" b="13335"/>
              <wp:wrapNone/>
              <wp:docPr id="1" name="Rectangle 9"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2520315"/>
                      </a:xfrm>
                      <a:prstGeom prst="rect">
                        <a:avLst/>
                      </a:prstGeom>
                      <a:solidFill>
                        <a:srgbClr val="005374"/>
                      </a:solidFill>
                      <a:ln w="31750">
                        <a:solidFill>
                          <a:srgbClr val="00537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alt="&quot;&quot;" style="position:absolute;margin-left:17pt;margin-top:-155.95pt;width:10.2pt;height:198.45pt;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" fillcolor="#005374" strokecolor="#005374" strokeweight="2.5pt">
              <v:shadow color="#868686"/>
              <w10:wrap anchorx="margin" anchory="margin"/>
              <w10:anchorlock/>
            </v:rect>
          </w:pict>
        </mc:Fallback>
      </mc:AlternateContent>
    </w:r>
    <w:r w:rsidR="00270DA6">
      <w:rPr>
        <w:noProof/>
        <w:lang w:eastAsia="en-AU"/>
      </w:rPr>
      <w:drawing>
        <wp:inline distT="0" distB="0" distL="0" distR="0" wp14:anchorId="60D5DD2F" wp14:editId="079343CC">
          <wp:extent cx="2234370" cy="417462"/>
          <wp:effectExtent l="0" t="0" r="0" b="1905"/>
          <wp:docPr id="11" name="Picture 1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a:blip r:embed="rId1">
                    <a:extLst>
                      <a:ext uri="{28A0092B-C50C-407E-A947-70E740481C1C}">
                        <a14:useLocalDpi xmlns:a14="http://schemas.microsoft.com/office/drawing/2010/main" val="0"/>
                      </a:ext>
                    </a:extLst>
                  </a:blip>
                  <a:stretch>
                    <a:fillRect/>
                  </a:stretch>
                </pic:blipFill>
                <pic:spPr>
                  <a:xfrm>
                    <a:off x="0" y="0"/>
                    <a:ext cx="2246953" cy="41981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9A" w:rsidRDefault="007068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F6" w:rsidRDefault="007645F6" w:rsidP="009D3703">
    <w:pPr>
      <w:pStyle w:val="Footer"/>
      <w:tabs>
        <w:tab w:val="clear" w:pos="4680"/>
        <w:tab w:val="clear"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68" w:rsidRDefault="00DC0168" w:rsidP="009960EE">
      <w:r>
        <w:separator/>
      </w:r>
    </w:p>
  </w:footnote>
  <w:footnote w:type="continuationSeparator" w:id="0">
    <w:p w:rsidR="00DC0168" w:rsidRDefault="00DC0168" w:rsidP="0099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9A" w:rsidRDefault="00706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9A" w:rsidRDefault="00706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9A" w:rsidRDefault="007068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F6" w:rsidRDefault="00764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1F54"/>
    <w:multiLevelType w:val="hybridMultilevel"/>
    <w:tmpl w:val="21FABF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7BD594F"/>
    <w:multiLevelType w:val="hybridMultilevel"/>
    <w:tmpl w:val="D3C6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F677D2"/>
    <w:multiLevelType w:val="hybridMultilevel"/>
    <w:tmpl w:val="13422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0A7411"/>
    <w:multiLevelType w:val="hybridMultilevel"/>
    <w:tmpl w:val="DCF08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63E470E8"/>
    <w:multiLevelType w:val="hybridMultilevel"/>
    <w:tmpl w:val="AAF0364E"/>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defaultTabStop w:val="720"/>
  <w:characterSpacingControl w:val="doNotCompress"/>
  <w:hdrShapeDefaults>
    <o:shapedefaults v:ext="edit" spidmax="6145">
      <o:colormru v:ext="edit" colors="#09c,#069,#004b7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28"/>
    <w:rsid w:val="00001EFD"/>
    <w:rsid w:val="00002C72"/>
    <w:rsid w:val="00003C38"/>
    <w:rsid w:val="00004C7D"/>
    <w:rsid w:val="000115C4"/>
    <w:rsid w:val="00011C64"/>
    <w:rsid w:val="0002479D"/>
    <w:rsid w:val="00024B44"/>
    <w:rsid w:val="0003260B"/>
    <w:rsid w:val="00041129"/>
    <w:rsid w:val="00041DD6"/>
    <w:rsid w:val="00042604"/>
    <w:rsid w:val="00051DF5"/>
    <w:rsid w:val="00052B1E"/>
    <w:rsid w:val="00057229"/>
    <w:rsid w:val="000613A3"/>
    <w:rsid w:val="00066301"/>
    <w:rsid w:val="00070B0E"/>
    <w:rsid w:val="00076805"/>
    <w:rsid w:val="00081D5E"/>
    <w:rsid w:val="000929F4"/>
    <w:rsid w:val="00094E33"/>
    <w:rsid w:val="000A27C0"/>
    <w:rsid w:val="000A3197"/>
    <w:rsid w:val="000A35B3"/>
    <w:rsid w:val="000B0AB6"/>
    <w:rsid w:val="000B5A53"/>
    <w:rsid w:val="000C1736"/>
    <w:rsid w:val="000C448B"/>
    <w:rsid w:val="000D029B"/>
    <w:rsid w:val="000D329A"/>
    <w:rsid w:val="000D62DB"/>
    <w:rsid w:val="000E0085"/>
    <w:rsid w:val="000E39E7"/>
    <w:rsid w:val="000F4CFE"/>
    <w:rsid w:val="000F5808"/>
    <w:rsid w:val="00107032"/>
    <w:rsid w:val="00112B03"/>
    <w:rsid w:val="00114021"/>
    <w:rsid w:val="00127900"/>
    <w:rsid w:val="00136150"/>
    <w:rsid w:val="00144853"/>
    <w:rsid w:val="001534B5"/>
    <w:rsid w:val="00154BFC"/>
    <w:rsid w:val="00157523"/>
    <w:rsid w:val="001812DE"/>
    <w:rsid w:val="00192D63"/>
    <w:rsid w:val="00193D14"/>
    <w:rsid w:val="00195D1B"/>
    <w:rsid w:val="001A541A"/>
    <w:rsid w:val="001A5FA8"/>
    <w:rsid w:val="001B624A"/>
    <w:rsid w:val="001C10C5"/>
    <w:rsid w:val="001C73F3"/>
    <w:rsid w:val="001D67ED"/>
    <w:rsid w:val="001E1640"/>
    <w:rsid w:val="001E22AB"/>
    <w:rsid w:val="001F5B7D"/>
    <w:rsid w:val="002025E2"/>
    <w:rsid w:val="00215EE1"/>
    <w:rsid w:val="00220865"/>
    <w:rsid w:val="00227FCD"/>
    <w:rsid w:val="00232707"/>
    <w:rsid w:val="002624CD"/>
    <w:rsid w:val="0026279E"/>
    <w:rsid w:val="00262FF0"/>
    <w:rsid w:val="002651C2"/>
    <w:rsid w:val="00267F50"/>
    <w:rsid w:val="00270DA6"/>
    <w:rsid w:val="00277F0F"/>
    <w:rsid w:val="00282218"/>
    <w:rsid w:val="00282DBE"/>
    <w:rsid w:val="0028514F"/>
    <w:rsid w:val="00291B7B"/>
    <w:rsid w:val="002A4DDD"/>
    <w:rsid w:val="002A7362"/>
    <w:rsid w:val="002A7F35"/>
    <w:rsid w:val="002C7001"/>
    <w:rsid w:val="002E2B47"/>
    <w:rsid w:val="002F3062"/>
    <w:rsid w:val="003067FE"/>
    <w:rsid w:val="00313268"/>
    <w:rsid w:val="00317695"/>
    <w:rsid w:val="00324F80"/>
    <w:rsid w:val="0033288A"/>
    <w:rsid w:val="003335D3"/>
    <w:rsid w:val="003379B0"/>
    <w:rsid w:val="003465E7"/>
    <w:rsid w:val="0035023E"/>
    <w:rsid w:val="003566E8"/>
    <w:rsid w:val="00364DAD"/>
    <w:rsid w:val="003727E4"/>
    <w:rsid w:val="0037416A"/>
    <w:rsid w:val="003818E3"/>
    <w:rsid w:val="00386779"/>
    <w:rsid w:val="003A6BE1"/>
    <w:rsid w:val="003B27A3"/>
    <w:rsid w:val="003B3E3E"/>
    <w:rsid w:val="003C3C1B"/>
    <w:rsid w:val="003C7D14"/>
    <w:rsid w:val="003D2D75"/>
    <w:rsid w:val="003D37B7"/>
    <w:rsid w:val="003D5E2B"/>
    <w:rsid w:val="003D6DCC"/>
    <w:rsid w:val="003E0075"/>
    <w:rsid w:val="003E21CA"/>
    <w:rsid w:val="003E6D0F"/>
    <w:rsid w:val="003F3FB1"/>
    <w:rsid w:val="00401AC6"/>
    <w:rsid w:val="00405332"/>
    <w:rsid w:val="0041755D"/>
    <w:rsid w:val="00421E78"/>
    <w:rsid w:val="004226E3"/>
    <w:rsid w:val="00423445"/>
    <w:rsid w:val="00426D41"/>
    <w:rsid w:val="00454BAD"/>
    <w:rsid w:val="004611FC"/>
    <w:rsid w:val="004639A0"/>
    <w:rsid w:val="00471BBB"/>
    <w:rsid w:val="004777B7"/>
    <w:rsid w:val="00481879"/>
    <w:rsid w:val="004831E3"/>
    <w:rsid w:val="0049110D"/>
    <w:rsid w:val="0049573B"/>
    <w:rsid w:val="004A2CDC"/>
    <w:rsid w:val="004B0FEE"/>
    <w:rsid w:val="004B4C84"/>
    <w:rsid w:val="004B6E67"/>
    <w:rsid w:val="004C5C6A"/>
    <w:rsid w:val="004C7DF0"/>
    <w:rsid w:val="004D3721"/>
    <w:rsid w:val="004D3A22"/>
    <w:rsid w:val="004D5979"/>
    <w:rsid w:val="004E63C3"/>
    <w:rsid w:val="004F2703"/>
    <w:rsid w:val="004F7498"/>
    <w:rsid w:val="005010D3"/>
    <w:rsid w:val="00507B1A"/>
    <w:rsid w:val="005135CD"/>
    <w:rsid w:val="005170C4"/>
    <w:rsid w:val="00522F38"/>
    <w:rsid w:val="005367B0"/>
    <w:rsid w:val="00544296"/>
    <w:rsid w:val="00551D8D"/>
    <w:rsid w:val="00553426"/>
    <w:rsid w:val="005561E5"/>
    <w:rsid w:val="00557A9C"/>
    <w:rsid w:val="00561D65"/>
    <w:rsid w:val="00583875"/>
    <w:rsid w:val="00594619"/>
    <w:rsid w:val="005B0B3E"/>
    <w:rsid w:val="005B444A"/>
    <w:rsid w:val="005B7B25"/>
    <w:rsid w:val="005C44F8"/>
    <w:rsid w:val="005C5CE5"/>
    <w:rsid w:val="005D08CB"/>
    <w:rsid w:val="005F0077"/>
    <w:rsid w:val="005F421E"/>
    <w:rsid w:val="005F4A67"/>
    <w:rsid w:val="005F50B7"/>
    <w:rsid w:val="0060161F"/>
    <w:rsid w:val="006121BD"/>
    <w:rsid w:val="00622B3D"/>
    <w:rsid w:val="0063199C"/>
    <w:rsid w:val="0063210D"/>
    <w:rsid w:val="00637F13"/>
    <w:rsid w:val="00651357"/>
    <w:rsid w:val="00656700"/>
    <w:rsid w:val="00664DD5"/>
    <w:rsid w:val="006672A7"/>
    <w:rsid w:val="006762E8"/>
    <w:rsid w:val="00681C40"/>
    <w:rsid w:val="006841B2"/>
    <w:rsid w:val="006855A1"/>
    <w:rsid w:val="006867C9"/>
    <w:rsid w:val="00686D57"/>
    <w:rsid w:val="00687114"/>
    <w:rsid w:val="0068788F"/>
    <w:rsid w:val="00695CA6"/>
    <w:rsid w:val="006B134A"/>
    <w:rsid w:val="006B45B1"/>
    <w:rsid w:val="006B47D3"/>
    <w:rsid w:val="006C2BAA"/>
    <w:rsid w:val="006C3372"/>
    <w:rsid w:val="006C3A67"/>
    <w:rsid w:val="006C5EBF"/>
    <w:rsid w:val="006E0713"/>
    <w:rsid w:val="006F6AF2"/>
    <w:rsid w:val="00705D41"/>
    <w:rsid w:val="0070689A"/>
    <w:rsid w:val="00710930"/>
    <w:rsid w:val="007117FF"/>
    <w:rsid w:val="00713E6C"/>
    <w:rsid w:val="0072024A"/>
    <w:rsid w:val="0072465F"/>
    <w:rsid w:val="007311F0"/>
    <w:rsid w:val="00731F95"/>
    <w:rsid w:val="0073495C"/>
    <w:rsid w:val="00741D7F"/>
    <w:rsid w:val="00753513"/>
    <w:rsid w:val="007543BB"/>
    <w:rsid w:val="007608A3"/>
    <w:rsid w:val="0076194F"/>
    <w:rsid w:val="007636E2"/>
    <w:rsid w:val="007645F6"/>
    <w:rsid w:val="00765C2E"/>
    <w:rsid w:val="0077785D"/>
    <w:rsid w:val="00790985"/>
    <w:rsid w:val="00791850"/>
    <w:rsid w:val="007C3605"/>
    <w:rsid w:val="007D2D5B"/>
    <w:rsid w:val="007E7CA8"/>
    <w:rsid w:val="007F381B"/>
    <w:rsid w:val="00803A25"/>
    <w:rsid w:val="008153A5"/>
    <w:rsid w:val="008242BC"/>
    <w:rsid w:val="008435B2"/>
    <w:rsid w:val="00845902"/>
    <w:rsid w:val="0085740B"/>
    <w:rsid w:val="00860858"/>
    <w:rsid w:val="008614CE"/>
    <w:rsid w:val="00872775"/>
    <w:rsid w:val="00872A61"/>
    <w:rsid w:val="008860BB"/>
    <w:rsid w:val="0088681A"/>
    <w:rsid w:val="0088683D"/>
    <w:rsid w:val="00891D94"/>
    <w:rsid w:val="00892687"/>
    <w:rsid w:val="00894018"/>
    <w:rsid w:val="00894E25"/>
    <w:rsid w:val="008A71E0"/>
    <w:rsid w:val="008A7DDB"/>
    <w:rsid w:val="008C7CC1"/>
    <w:rsid w:val="008D0153"/>
    <w:rsid w:val="008D4732"/>
    <w:rsid w:val="008D49F7"/>
    <w:rsid w:val="008E6278"/>
    <w:rsid w:val="008F0BD7"/>
    <w:rsid w:val="008F5199"/>
    <w:rsid w:val="00902053"/>
    <w:rsid w:val="0090377C"/>
    <w:rsid w:val="00914759"/>
    <w:rsid w:val="009150A4"/>
    <w:rsid w:val="00915F19"/>
    <w:rsid w:val="00922E79"/>
    <w:rsid w:val="00945773"/>
    <w:rsid w:val="0094769B"/>
    <w:rsid w:val="00953DA1"/>
    <w:rsid w:val="00963151"/>
    <w:rsid w:val="009756D6"/>
    <w:rsid w:val="00977BA4"/>
    <w:rsid w:val="0098358B"/>
    <w:rsid w:val="00985938"/>
    <w:rsid w:val="009960EE"/>
    <w:rsid w:val="009A02C2"/>
    <w:rsid w:val="009B6EC2"/>
    <w:rsid w:val="009C23D4"/>
    <w:rsid w:val="009C3156"/>
    <w:rsid w:val="009C5A22"/>
    <w:rsid w:val="009C7C9B"/>
    <w:rsid w:val="009D3703"/>
    <w:rsid w:val="009D7812"/>
    <w:rsid w:val="009F1977"/>
    <w:rsid w:val="009F2067"/>
    <w:rsid w:val="00A01053"/>
    <w:rsid w:val="00A05F25"/>
    <w:rsid w:val="00A13967"/>
    <w:rsid w:val="00A31BAD"/>
    <w:rsid w:val="00A373A1"/>
    <w:rsid w:val="00A435EF"/>
    <w:rsid w:val="00A4410E"/>
    <w:rsid w:val="00A47E21"/>
    <w:rsid w:val="00A51CB3"/>
    <w:rsid w:val="00A770AA"/>
    <w:rsid w:val="00A8044C"/>
    <w:rsid w:val="00A80A44"/>
    <w:rsid w:val="00A81365"/>
    <w:rsid w:val="00A81EDC"/>
    <w:rsid w:val="00A8239E"/>
    <w:rsid w:val="00A829AC"/>
    <w:rsid w:val="00A93BF9"/>
    <w:rsid w:val="00A94B29"/>
    <w:rsid w:val="00AA2009"/>
    <w:rsid w:val="00AA39A4"/>
    <w:rsid w:val="00AA3A6D"/>
    <w:rsid w:val="00AB0792"/>
    <w:rsid w:val="00AB25AB"/>
    <w:rsid w:val="00AB7741"/>
    <w:rsid w:val="00AC6CFB"/>
    <w:rsid w:val="00AD4DA2"/>
    <w:rsid w:val="00AE6020"/>
    <w:rsid w:val="00AF11C3"/>
    <w:rsid w:val="00AF32C2"/>
    <w:rsid w:val="00AF57C5"/>
    <w:rsid w:val="00B02050"/>
    <w:rsid w:val="00B06CF1"/>
    <w:rsid w:val="00B10E1F"/>
    <w:rsid w:val="00B24109"/>
    <w:rsid w:val="00B241AC"/>
    <w:rsid w:val="00B416E2"/>
    <w:rsid w:val="00B4403F"/>
    <w:rsid w:val="00B473D1"/>
    <w:rsid w:val="00B4797A"/>
    <w:rsid w:val="00B56834"/>
    <w:rsid w:val="00B56E5F"/>
    <w:rsid w:val="00B60927"/>
    <w:rsid w:val="00B67C49"/>
    <w:rsid w:val="00B70917"/>
    <w:rsid w:val="00B72E36"/>
    <w:rsid w:val="00B77375"/>
    <w:rsid w:val="00B82FA6"/>
    <w:rsid w:val="00B8432E"/>
    <w:rsid w:val="00B85C31"/>
    <w:rsid w:val="00B921AB"/>
    <w:rsid w:val="00B92DEC"/>
    <w:rsid w:val="00B92FCE"/>
    <w:rsid w:val="00B93622"/>
    <w:rsid w:val="00BA59A4"/>
    <w:rsid w:val="00BA6119"/>
    <w:rsid w:val="00BB0884"/>
    <w:rsid w:val="00BB280B"/>
    <w:rsid w:val="00BB7755"/>
    <w:rsid w:val="00BC5E73"/>
    <w:rsid w:val="00BC6D3D"/>
    <w:rsid w:val="00BE21AD"/>
    <w:rsid w:val="00C1279D"/>
    <w:rsid w:val="00C12F7E"/>
    <w:rsid w:val="00C139DD"/>
    <w:rsid w:val="00C1742D"/>
    <w:rsid w:val="00C32BA6"/>
    <w:rsid w:val="00C37727"/>
    <w:rsid w:val="00C508AC"/>
    <w:rsid w:val="00C513EF"/>
    <w:rsid w:val="00C57037"/>
    <w:rsid w:val="00C62EF7"/>
    <w:rsid w:val="00C642FE"/>
    <w:rsid w:val="00C6527C"/>
    <w:rsid w:val="00C7146A"/>
    <w:rsid w:val="00C720AA"/>
    <w:rsid w:val="00C74BFB"/>
    <w:rsid w:val="00C85539"/>
    <w:rsid w:val="00C90C2B"/>
    <w:rsid w:val="00C926A0"/>
    <w:rsid w:val="00CA0093"/>
    <w:rsid w:val="00CB0E62"/>
    <w:rsid w:val="00CB3141"/>
    <w:rsid w:val="00CC0332"/>
    <w:rsid w:val="00CC0D44"/>
    <w:rsid w:val="00CD68FC"/>
    <w:rsid w:val="00CE3DE6"/>
    <w:rsid w:val="00CE6191"/>
    <w:rsid w:val="00CE643D"/>
    <w:rsid w:val="00CE68E1"/>
    <w:rsid w:val="00CF53FF"/>
    <w:rsid w:val="00D0673B"/>
    <w:rsid w:val="00D067CE"/>
    <w:rsid w:val="00D074B1"/>
    <w:rsid w:val="00D163F9"/>
    <w:rsid w:val="00D231DE"/>
    <w:rsid w:val="00D30A02"/>
    <w:rsid w:val="00D348D2"/>
    <w:rsid w:val="00D4074F"/>
    <w:rsid w:val="00D44798"/>
    <w:rsid w:val="00D44F9B"/>
    <w:rsid w:val="00D60AE1"/>
    <w:rsid w:val="00D63100"/>
    <w:rsid w:val="00D72C2A"/>
    <w:rsid w:val="00D761FA"/>
    <w:rsid w:val="00D862E3"/>
    <w:rsid w:val="00D86B0E"/>
    <w:rsid w:val="00D93161"/>
    <w:rsid w:val="00D931E3"/>
    <w:rsid w:val="00D947F0"/>
    <w:rsid w:val="00DA6551"/>
    <w:rsid w:val="00DB033B"/>
    <w:rsid w:val="00DB268D"/>
    <w:rsid w:val="00DC0168"/>
    <w:rsid w:val="00DC6902"/>
    <w:rsid w:val="00DD5A57"/>
    <w:rsid w:val="00DE24D8"/>
    <w:rsid w:val="00DE3D3C"/>
    <w:rsid w:val="00DE7B29"/>
    <w:rsid w:val="00DF10AD"/>
    <w:rsid w:val="00DF5D98"/>
    <w:rsid w:val="00DF714C"/>
    <w:rsid w:val="00DF7EBA"/>
    <w:rsid w:val="00E07A3C"/>
    <w:rsid w:val="00E14416"/>
    <w:rsid w:val="00E16CE2"/>
    <w:rsid w:val="00E24657"/>
    <w:rsid w:val="00E24A95"/>
    <w:rsid w:val="00E252F0"/>
    <w:rsid w:val="00E43C8D"/>
    <w:rsid w:val="00E56C5A"/>
    <w:rsid w:val="00E63EDA"/>
    <w:rsid w:val="00E8361B"/>
    <w:rsid w:val="00E91B90"/>
    <w:rsid w:val="00E93D9B"/>
    <w:rsid w:val="00E954CF"/>
    <w:rsid w:val="00E97295"/>
    <w:rsid w:val="00EC11BD"/>
    <w:rsid w:val="00EC41E0"/>
    <w:rsid w:val="00ED0277"/>
    <w:rsid w:val="00ED2E1D"/>
    <w:rsid w:val="00ED653D"/>
    <w:rsid w:val="00EE0B07"/>
    <w:rsid w:val="00EF1C2D"/>
    <w:rsid w:val="00F0177C"/>
    <w:rsid w:val="00F03972"/>
    <w:rsid w:val="00F05B6E"/>
    <w:rsid w:val="00F133C0"/>
    <w:rsid w:val="00F14A07"/>
    <w:rsid w:val="00F2294B"/>
    <w:rsid w:val="00F22CE2"/>
    <w:rsid w:val="00F23E98"/>
    <w:rsid w:val="00F41A78"/>
    <w:rsid w:val="00F44FDC"/>
    <w:rsid w:val="00F5139C"/>
    <w:rsid w:val="00F542A9"/>
    <w:rsid w:val="00F722A4"/>
    <w:rsid w:val="00F747F1"/>
    <w:rsid w:val="00F76BD7"/>
    <w:rsid w:val="00F811BF"/>
    <w:rsid w:val="00F84F0E"/>
    <w:rsid w:val="00F86E6E"/>
    <w:rsid w:val="00FA2D9A"/>
    <w:rsid w:val="00FA6FC5"/>
    <w:rsid w:val="00FB5D9A"/>
    <w:rsid w:val="00FD0B45"/>
    <w:rsid w:val="00FD5D53"/>
    <w:rsid w:val="00FD7364"/>
    <w:rsid w:val="00FD7411"/>
    <w:rsid w:val="00FE48F0"/>
    <w:rsid w:val="00FE5C28"/>
    <w:rsid w:val="00FF3F7A"/>
    <w:rsid w:val="00FF4D48"/>
    <w:rsid w:val="00FF7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9c,#069,#004b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Dotum"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C1"/>
    <w:pPr>
      <w:spacing w:after="200"/>
    </w:pPr>
    <w:rPr>
      <w:rFonts w:ascii="Calibri" w:hAnsi="Calibri" w:cs="Calibri"/>
      <w:sz w:val="22"/>
      <w:szCs w:val="22"/>
      <w:lang w:eastAsia="en-US"/>
    </w:rPr>
  </w:style>
  <w:style w:type="paragraph" w:styleId="Heading1">
    <w:name w:val="heading 1"/>
    <w:next w:val="Normal"/>
    <w:link w:val="Heading1Char"/>
    <w:uiPriority w:val="9"/>
    <w:qFormat/>
    <w:rsid w:val="00270DA6"/>
    <w:pPr>
      <w:pageBreakBefore/>
      <w:widowControl w:val="0"/>
      <w:pBdr>
        <w:top w:val="single" w:sz="48" w:space="1" w:color="D1282E"/>
        <w:left w:val="single" w:sz="48" w:space="4" w:color="D1282E"/>
        <w:bottom w:val="single" w:sz="48" w:space="1" w:color="D1282E"/>
        <w:right w:val="single" w:sz="48" w:space="4" w:color="D1282E"/>
      </w:pBdr>
      <w:shd w:val="clear" w:color="auto" w:fill="D1282E"/>
      <w:spacing w:after="240"/>
      <w:ind w:right="5"/>
      <w:outlineLvl w:val="0"/>
    </w:pPr>
    <w:rPr>
      <w:rFonts w:ascii="Calibri" w:eastAsia="HYGothic-Extra" w:hAnsi="Calibri" w:cs="Calibri"/>
      <w:bCs/>
      <w:color w:val="FFFFFF" w:themeColor="background1"/>
      <w:spacing w:val="-20"/>
      <w:sz w:val="60"/>
      <w:szCs w:val="60"/>
      <w:lang w:eastAsia="en-US"/>
    </w:rPr>
  </w:style>
  <w:style w:type="paragraph" w:styleId="Heading2">
    <w:name w:val="heading 2"/>
    <w:next w:val="Normal"/>
    <w:link w:val="Heading2Char"/>
    <w:uiPriority w:val="9"/>
    <w:unhideWhenUsed/>
    <w:qFormat/>
    <w:rsid w:val="00324F80"/>
    <w:pPr>
      <w:spacing w:before="360" w:after="120"/>
      <w:outlineLvl w:val="1"/>
    </w:pPr>
    <w:rPr>
      <w:caps/>
      <w:sz w:val="32"/>
      <w:szCs w:val="32"/>
      <w:lang w:eastAsia="en-US"/>
    </w:rPr>
  </w:style>
  <w:style w:type="paragraph" w:styleId="Heading3">
    <w:name w:val="heading 3"/>
    <w:next w:val="Normal"/>
    <w:link w:val="Heading3Char"/>
    <w:uiPriority w:val="9"/>
    <w:unhideWhenUsed/>
    <w:qFormat/>
    <w:rsid w:val="00922E79"/>
    <w:pPr>
      <w:spacing w:before="60"/>
      <w:outlineLvl w:val="2"/>
    </w:pPr>
    <w:rPr>
      <w:rFonts w:ascii="Calibri" w:eastAsia="HYGothic-Extra" w:hAnsi="Calibri" w:cs="Tahoma"/>
      <w:b/>
      <w:bCs/>
      <w:caps/>
      <w:color w:val="D1282E"/>
      <w:sz w:val="22"/>
      <w:szCs w:val="22"/>
      <w:lang w:eastAsia="en-US"/>
    </w:rPr>
  </w:style>
  <w:style w:type="paragraph" w:styleId="Heading4">
    <w:name w:val="heading 4"/>
    <w:basedOn w:val="Normal"/>
    <w:next w:val="Normal"/>
    <w:link w:val="Heading4Char"/>
    <w:uiPriority w:val="9"/>
    <w:unhideWhenUsed/>
    <w:qFormat/>
    <w:pPr>
      <w:keepNext/>
      <w:keepLines/>
      <w:spacing w:before="200" w:after="0"/>
      <w:outlineLvl w:val="3"/>
    </w:pPr>
    <w:rPr>
      <w:rFonts w:ascii="Arial Black" w:eastAsia="HYGothic-Extra" w:hAnsi="Arial Black" w:cs="Tahoma"/>
      <w:bCs/>
      <w:i/>
      <w:iCs/>
      <w:color w:val="7A7A7A"/>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HYGothic-Extra" w:cs="Tahoma"/>
      <w:b/>
      <w:color w:val="5B5B5B"/>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Black" w:eastAsia="HYGothic-Extra" w:hAnsi="Arial Black" w:cs="Tahoma"/>
      <w:i/>
      <w:iCs/>
      <w:color w:val="5B5B5B"/>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HYGothic-Extra" w:cs="Tahoma"/>
      <w:b/>
      <w:iCs/>
      <w:color w:val="D1282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Arial Black" w:eastAsia="HYGothic-Extra" w:hAnsi="Arial Black" w:cs="Tahoma"/>
      <w:color w:val="7A7A7A"/>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Arial Black" w:eastAsia="HYGothic-Extra" w:hAnsi="Arial Black" w:cs="Tahoma"/>
      <w:i/>
      <w:iCs/>
      <w:color w:val="5B5B5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0DA6"/>
    <w:rPr>
      <w:rFonts w:ascii="Calibri" w:eastAsia="HYGothic-Extra" w:hAnsi="Calibri" w:cs="Calibri"/>
      <w:bCs/>
      <w:color w:val="FFFFFF" w:themeColor="background1"/>
      <w:spacing w:val="-20"/>
      <w:sz w:val="60"/>
      <w:szCs w:val="60"/>
      <w:shd w:val="clear" w:color="auto" w:fill="D1282E"/>
      <w:lang w:eastAsia="en-US"/>
    </w:rPr>
  </w:style>
  <w:style w:type="character" w:customStyle="1" w:styleId="Heading2Char">
    <w:name w:val="Heading 2 Char"/>
    <w:link w:val="Heading2"/>
    <w:uiPriority w:val="9"/>
    <w:rsid w:val="00324F80"/>
    <w:rPr>
      <w:caps/>
      <w:sz w:val="32"/>
      <w:szCs w:val="32"/>
      <w:lang w:eastAsia="en-US"/>
    </w:rPr>
  </w:style>
  <w:style w:type="character" w:customStyle="1" w:styleId="Heading3Char">
    <w:name w:val="Heading 3 Char"/>
    <w:link w:val="Heading3"/>
    <w:uiPriority w:val="9"/>
    <w:rsid w:val="00922E79"/>
    <w:rPr>
      <w:rFonts w:ascii="Calibri" w:eastAsia="HYGothic-Extra" w:hAnsi="Calibri" w:cs="Tahoma"/>
      <w:b/>
      <w:bCs/>
      <w:caps/>
      <w:color w:val="D1282E"/>
      <w:sz w:val="22"/>
      <w:szCs w:val="22"/>
      <w:lang w:eastAsia="en-US"/>
    </w:rPr>
  </w:style>
  <w:style w:type="character" w:customStyle="1" w:styleId="Heading4Char">
    <w:name w:val="Heading 4 Char"/>
    <w:link w:val="Heading4"/>
    <w:uiPriority w:val="9"/>
    <w:rPr>
      <w:rFonts w:ascii="Arial Black" w:eastAsia="HYGothic-Extra" w:hAnsi="Arial Black" w:cs="Tahoma"/>
      <w:bCs/>
      <w:i/>
      <w:iCs/>
      <w:color w:val="7A7A7A"/>
    </w:rPr>
  </w:style>
  <w:style w:type="character" w:customStyle="1" w:styleId="Heading5Char">
    <w:name w:val="Heading 5 Char"/>
    <w:link w:val="Heading5"/>
    <w:uiPriority w:val="9"/>
    <w:semiHidden/>
    <w:rPr>
      <w:rFonts w:eastAsia="HYGothic-Extra" w:cs="Tahoma"/>
      <w:b/>
      <w:color w:val="5B5B5B"/>
    </w:rPr>
  </w:style>
  <w:style w:type="character" w:customStyle="1" w:styleId="Heading6Char">
    <w:name w:val="Heading 6 Char"/>
    <w:link w:val="Heading6"/>
    <w:uiPriority w:val="9"/>
    <w:semiHidden/>
    <w:rPr>
      <w:rFonts w:ascii="Arial Black" w:eastAsia="HYGothic-Extra" w:hAnsi="Arial Black" w:cs="Tahoma"/>
      <w:i/>
      <w:iCs/>
      <w:color w:val="5B5B5B"/>
    </w:rPr>
  </w:style>
  <w:style w:type="character" w:customStyle="1" w:styleId="Heading7Char">
    <w:name w:val="Heading 7 Char"/>
    <w:link w:val="Heading7"/>
    <w:uiPriority w:val="9"/>
    <w:semiHidden/>
    <w:rPr>
      <w:rFonts w:eastAsia="HYGothic-Extra" w:cs="Tahoma"/>
      <w:b/>
      <w:iCs/>
      <w:color w:val="D1282E"/>
    </w:rPr>
  </w:style>
  <w:style w:type="character" w:customStyle="1" w:styleId="Heading8Char">
    <w:name w:val="Heading 8 Char"/>
    <w:link w:val="Heading8"/>
    <w:uiPriority w:val="9"/>
    <w:semiHidden/>
    <w:rPr>
      <w:rFonts w:ascii="Arial Black" w:eastAsia="HYGothic-Extra" w:hAnsi="Arial Black" w:cs="Tahoma"/>
      <w:color w:val="7A7A7A"/>
      <w:sz w:val="20"/>
      <w:szCs w:val="20"/>
    </w:rPr>
  </w:style>
  <w:style w:type="character" w:customStyle="1" w:styleId="Heading9Char">
    <w:name w:val="Heading 9 Char"/>
    <w:link w:val="Heading9"/>
    <w:uiPriority w:val="9"/>
    <w:semiHidden/>
    <w:rPr>
      <w:rFonts w:ascii="Arial Black" w:eastAsia="HYGothic-Extra" w:hAnsi="Arial Black" w:cs="Tahoma"/>
      <w:i/>
      <w:iCs/>
      <w:color w:val="5B5B5B"/>
      <w:sz w:val="20"/>
      <w:szCs w:val="20"/>
    </w:rPr>
  </w:style>
  <w:style w:type="paragraph" w:styleId="Caption">
    <w:name w:val="caption"/>
    <w:basedOn w:val="Normal"/>
    <w:next w:val="Normal"/>
    <w:uiPriority w:val="35"/>
    <w:unhideWhenUsed/>
    <w:qFormat/>
    <w:rsid w:val="0002479D"/>
    <w:rPr>
      <w:b/>
      <w:bCs/>
      <w:caps/>
      <w:color w:val="7A7A7A"/>
      <w:sz w:val="18"/>
      <w:szCs w:val="18"/>
    </w:rPr>
  </w:style>
  <w:style w:type="paragraph" w:styleId="Title">
    <w:name w:val="Title"/>
    <w:basedOn w:val="Normal"/>
    <w:next w:val="Normal"/>
    <w:link w:val="TitleChar"/>
    <w:uiPriority w:val="10"/>
    <w:qFormat/>
    <w:rsid w:val="00F03972"/>
    <w:pPr>
      <w:spacing w:before="360" w:after="60"/>
      <w:contextualSpacing/>
    </w:pPr>
    <w:rPr>
      <w:rFonts w:eastAsia="HYGothic-Extra"/>
      <w:b/>
      <w:caps/>
      <w:color w:val="005374"/>
      <w:spacing w:val="-20"/>
      <w:kern w:val="28"/>
      <w:sz w:val="60"/>
      <w:szCs w:val="60"/>
    </w:rPr>
  </w:style>
  <w:style w:type="character" w:customStyle="1" w:styleId="TitleChar">
    <w:name w:val="Title Char"/>
    <w:link w:val="Title"/>
    <w:uiPriority w:val="10"/>
    <w:rsid w:val="00F03972"/>
    <w:rPr>
      <w:rFonts w:ascii="Calibri" w:eastAsia="HYGothic-Extra" w:hAnsi="Calibri" w:cs="Calibri"/>
      <w:b/>
      <w:caps/>
      <w:color w:val="005374"/>
      <w:spacing w:val="-20"/>
      <w:kern w:val="28"/>
      <w:sz w:val="60"/>
      <w:szCs w:val="60"/>
      <w:lang w:eastAsia="en-US"/>
    </w:rPr>
  </w:style>
  <w:style w:type="paragraph" w:styleId="Subtitle">
    <w:name w:val="Subtitle"/>
    <w:basedOn w:val="Normal"/>
    <w:next w:val="Normal"/>
    <w:link w:val="SubtitleChar"/>
    <w:uiPriority w:val="11"/>
    <w:qFormat/>
    <w:rsid w:val="009960EE"/>
    <w:pPr>
      <w:numPr>
        <w:ilvl w:val="1"/>
      </w:numPr>
    </w:pPr>
    <w:rPr>
      <w:rFonts w:eastAsia="HYGothic-Extra"/>
      <w:b/>
      <w:bCs/>
      <w:iCs/>
      <w:color w:val="D1282E"/>
      <w:sz w:val="40"/>
      <w:szCs w:val="40"/>
    </w:rPr>
  </w:style>
  <w:style w:type="character" w:customStyle="1" w:styleId="SubtitleChar">
    <w:name w:val="Subtitle Char"/>
    <w:link w:val="Subtitle"/>
    <w:uiPriority w:val="11"/>
    <w:rsid w:val="009960EE"/>
    <w:rPr>
      <w:rFonts w:ascii="Calibri" w:eastAsia="HYGothic-Extra" w:hAnsi="Calibri" w:cs="Calibri"/>
      <w:b/>
      <w:bCs/>
      <w:iCs/>
      <w:color w:val="D1282E"/>
      <w:sz w:val="40"/>
      <w:szCs w:val="40"/>
      <w:lang w:val="en-US" w:eastAsia="en-US"/>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sid w:val="004C7DF0"/>
    <w:rPr>
      <w:rFonts w:ascii="Calibri" w:hAnsi="Calibri" w:cs="Calibri"/>
      <w:sz w:val="22"/>
      <w:szCs w:val="22"/>
      <w:lang w:val="en-US" w:eastAsia="en-US"/>
    </w:rPr>
  </w:style>
  <w:style w:type="character" w:customStyle="1" w:styleId="NoSpacingChar">
    <w:name w:val="No Spacing Char"/>
    <w:basedOn w:val="DefaultParagraphFont"/>
    <w:link w:val="NoSpacing"/>
    <w:uiPriority w:val="1"/>
    <w:rsid w:val="004C7DF0"/>
    <w:rPr>
      <w:rFonts w:ascii="Calibri" w:hAnsi="Calibri" w:cs="Calibri"/>
      <w:sz w:val="22"/>
      <w:szCs w:val="22"/>
      <w:lang w:val="en-US" w:eastAsia="en-US"/>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sz w:val="28"/>
    </w:rPr>
  </w:style>
  <w:style w:type="character" w:customStyle="1" w:styleId="QuoteChar">
    <w:name w:val="Quote Char"/>
    <w:link w:val="Quote"/>
    <w:uiPriority w:val="29"/>
    <w:rPr>
      <w:i/>
      <w:iCs/>
      <w:color w:val="7A7A7A"/>
      <w:sz w:val="28"/>
    </w:rPr>
  </w:style>
  <w:style w:type="paragraph" w:styleId="IntenseQuote">
    <w:name w:val="Intense Quote"/>
    <w:basedOn w:val="Normal"/>
    <w:next w:val="Normal"/>
    <w:link w:val="IntenseQuoteChar"/>
    <w:uiPriority w:val="30"/>
    <w:qFormat/>
    <w:pPr>
      <w:pBdr>
        <w:top w:val="single" w:sz="36" w:space="5" w:color="000000"/>
        <w:bottom w:val="single" w:sz="18" w:space="5" w:color="D1282E"/>
      </w:pBdr>
      <w:spacing w:before="200" w:after="280" w:line="360" w:lineRule="auto"/>
    </w:pPr>
    <w:rPr>
      <w:b/>
      <w:bCs/>
      <w:i/>
      <w:iCs/>
      <w:color w:val="7F7F7F"/>
      <w:sz w:val="26"/>
    </w:rPr>
  </w:style>
  <w:style w:type="character" w:customStyle="1" w:styleId="IntenseQuoteChar">
    <w:name w:val="Intense Quote Char"/>
    <w:link w:val="IntenseQuote"/>
    <w:uiPriority w:val="30"/>
    <w:rPr>
      <w:b/>
      <w:bCs/>
      <w:i/>
      <w:iCs/>
      <w:color w:val="7F7F7F"/>
      <w:sz w:val="26"/>
    </w:rPr>
  </w:style>
  <w:style w:type="character" w:styleId="SubtleEmphasis">
    <w:name w:val="Subtle Emphasis"/>
    <w:uiPriority w:val="19"/>
    <w:qFormat/>
    <w:rPr>
      <w:i/>
      <w:iCs/>
      <w:color w:val="7A7A7A"/>
    </w:rPr>
  </w:style>
  <w:style w:type="character" w:styleId="IntenseEmphasis">
    <w:name w:val="Intense Emphasis"/>
    <w:uiPriority w:val="21"/>
    <w:qFormat/>
    <w:rPr>
      <w:b/>
      <w:bCs/>
      <w:i/>
      <w:iCs/>
      <w:color w:val="D1282E"/>
    </w:rPr>
  </w:style>
  <w:style w:type="character" w:styleId="SubtleReference">
    <w:name w:val="Subtle Reference"/>
    <w:uiPriority w:val="31"/>
    <w:qFormat/>
    <w:rPr>
      <w:rFonts w:ascii="Arial" w:hAnsi="Arial"/>
      <w:smallCaps/>
      <w:color w:val="F5C201"/>
      <w:sz w:val="22"/>
      <w:u w:val="none"/>
    </w:rPr>
  </w:style>
  <w:style w:type="character" w:styleId="IntenseReference">
    <w:name w:val="Intense Reference"/>
    <w:uiPriority w:val="32"/>
    <w:qFormat/>
    <w:rPr>
      <w:rFonts w:ascii="Arial" w:hAnsi="Arial"/>
      <w:b/>
      <w:bCs/>
      <w:caps/>
      <w:color w:val="F5C201"/>
      <w:spacing w:val="5"/>
      <w:sz w:val="22"/>
      <w:u w:val="single"/>
    </w:rPr>
  </w:style>
  <w:style w:type="character" w:styleId="BookTitle">
    <w:name w:val="Book Title"/>
    <w:uiPriority w:val="33"/>
    <w:qFormat/>
    <w:rPr>
      <w:rFonts w:ascii="Arial" w:hAnsi="Arial"/>
      <w:b/>
      <w:bCs/>
      <w:caps/>
      <w:color w:val="3D3D3D"/>
      <w:spacing w:val="5"/>
      <w:sz w:val="22"/>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rPr>
      <w:color w:val="808080"/>
    </w:rPr>
  </w:style>
  <w:style w:type="paragraph" w:styleId="Header">
    <w:name w:val="header"/>
    <w:basedOn w:val="Normal"/>
    <w:link w:val="HeaderChar"/>
    <w:uiPriority w:val="99"/>
    <w:unhideWhenUsed/>
    <w:pPr>
      <w:tabs>
        <w:tab w:val="center" w:pos="4680"/>
        <w:tab w:val="right" w:pos="9360"/>
      </w:tabs>
      <w:spacing w:after="0"/>
    </w:pPr>
    <w:rPr>
      <w:lang w:eastAsia="ja-JP"/>
    </w:rPr>
  </w:style>
  <w:style w:type="character" w:customStyle="1" w:styleId="HeaderChar">
    <w:name w:val="Header Char"/>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891D94"/>
    <w:pPr>
      <w:tabs>
        <w:tab w:val="right" w:leader="dot" w:pos="8931"/>
      </w:tabs>
    </w:pPr>
    <w:rPr>
      <w:rFonts w:asciiTheme="minorHAnsi" w:hAnsiTheme="minorHAnsi" w:cstheme="minorHAnsi"/>
      <w:b/>
      <w:caps/>
    </w:rPr>
  </w:style>
  <w:style w:type="paragraph" w:styleId="TOC2">
    <w:name w:val="toc 2"/>
    <w:basedOn w:val="Normal"/>
    <w:next w:val="Normal"/>
    <w:autoRedefine/>
    <w:uiPriority w:val="39"/>
    <w:unhideWhenUsed/>
    <w:rsid w:val="00891D94"/>
    <w:pPr>
      <w:tabs>
        <w:tab w:val="right" w:leader="dot" w:pos="8931"/>
      </w:tabs>
      <w:ind w:left="220"/>
    </w:pPr>
    <w:rPr>
      <w:rFonts w:asciiTheme="minorHAnsi" w:hAnsiTheme="minorHAnsi" w:cstheme="minorHAnsi"/>
    </w:rPr>
  </w:style>
  <w:style w:type="paragraph" w:styleId="TOC3">
    <w:name w:val="toc 3"/>
    <w:basedOn w:val="Normal"/>
    <w:next w:val="Normal"/>
    <w:autoRedefine/>
    <w:uiPriority w:val="39"/>
    <w:unhideWhenUsed/>
    <w:rsid w:val="00891D94"/>
    <w:pPr>
      <w:tabs>
        <w:tab w:val="right" w:leader="dot" w:pos="8931"/>
      </w:tabs>
      <w:ind w:left="440"/>
    </w:pPr>
    <w:rPr>
      <w:rFonts w:asciiTheme="minorHAnsi" w:hAnsiTheme="minorHAnsi" w:cstheme="minorHAnsi"/>
    </w:rPr>
  </w:style>
  <w:style w:type="character" w:styleId="Hyperlink">
    <w:name w:val="Hyperlink"/>
    <w:uiPriority w:val="99"/>
    <w:unhideWhenUsed/>
    <w:rsid w:val="009960EE"/>
    <w:rPr>
      <w:color w:val="0000FF"/>
      <w:u w:val="single"/>
    </w:rPr>
  </w:style>
  <w:style w:type="table" w:styleId="TableGrid">
    <w:name w:val="Table Grid"/>
    <w:basedOn w:val="TableNormal"/>
    <w:uiPriority w:val="59"/>
    <w:rsid w:val="00F72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BATableStyle1">
    <w:name w:val="NBA Table Style 1"/>
    <w:basedOn w:val="TableGrid"/>
    <w:uiPriority w:val="99"/>
    <w:rsid w:val="00FA6FC5"/>
    <w:pPr>
      <w:contextualSpacing/>
    </w:pPr>
    <w:rPr>
      <w:rFonts w:ascii="Calibri" w:hAnsi="Calibri"/>
      <w:color w:val="000000" w:themeColor="text1"/>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 w:type="table" w:customStyle="1" w:styleId="NBATableStyle2">
    <w:name w:val="NBA Table Style 2"/>
    <w:basedOn w:val="NBATableStyle1"/>
    <w:uiPriority w:val="99"/>
    <w:rsid w:val="00FA6FC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table" w:customStyle="1" w:styleId="NBATableStyle3">
    <w:name w:val="NBA Table Style 3"/>
    <w:basedOn w:val="NBATableStyle1"/>
    <w:uiPriority w:val="99"/>
    <w:rsid w:val="006C3372"/>
    <w:tblPr>
      <w:tblStyleRow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left"/>
      </w:pPr>
      <w:rPr>
        <w:b/>
        <w:color w:val="C00000"/>
      </w:rPr>
      <w:tblPr/>
      <w:tcPr>
        <w:tcBorders>
          <w:top w:val="single" w:sz="8" w:space="0" w:color="C00000"/>
          <w:left w:val="nil"/>
          <w:bottom w:val="single" w:sz="8" w:space="0" w:color="C00000"/>
          <w:right w:val="nil"/>
          <w:insideH w:val="nil"/>
          <w:insideV w:val="nil"/>
          <w:tl2br w:val="nil"/>
          <w:tr2bl w:val="nil"/>
        </w:tcBorders>
        <w:shd w:val="clear" w:color="auto" w:fill="FFFFFF" w:themeFill="background1"/>
      </w:tcPr>
    </w:tblStylePr>
    <w:tblStylePr w:type="lastRow">
      <w:rPr>
        <w:b/>
      </w:rPr>
      <w:tblPr/>
      <w:tcPr>
        <w:tcBorders>
          <w:top w:val="single" w:sz="8" w:space="0" w:color="auto"/>
          <w:left w:val="nil"/>
          <w:bottom w:val="single" w:sz="8" w:space="0" w:color="auto"/>
          <w:right w:val="nil"/>
          <w:insideH w:val="nil"/>
          <w:insideV w:val="nil"/>
          <w:tl2br w:val="nil"/>
          <w:tr2bl w:val="nil"/>
        </w:tcBorders>
        <w:shd w:val="clear" w:color="auto" w:fill="FFFFFF" w:themeFill="background1"/>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background1" w:themeFillShade="F2"/>
      </w:tcPr>
    </w:tblStylePr>
    <w:tblStylePr w:type="band2Horz">
      <w:tblPr/>
      <w:tcPr>
        <w:tcBorders>
          <w:top w:val="nil"/>
          <w:left w:val="nil"/>
          <w:bottom w:val="nil"/>
          <w:right w:val="nil"/>
          <w:insideH w:val="nil"/>
          <w:insideV w:val="nil"/>
        </w:tcBorders>
        <w:shd w:val="clear" w:color="auto" w:fill="FFFFFF" w:themeFill="background1"/>
      </w:tcPr>
    </w:tblStylePr>
  </w:style>
  <w:style w:type="paragraph" w:customStyle="1" w:styleId="QuickTip">
    <w:name w:val="Quick Tip"/>
    <w:basedOn w:val="NoSpacing"/>
    <w:qFormat/>
    <w:rsid w:val="00922E79"/>
    <w:rPr>
      <w:b/>
      <w:caps/>
      <w:color w:val="548DD4" w:themeColor="text2" w:themeTint="99"/>
    </w:rPr>
  </w:style>
  <w:style w:type="paragraph" w:styleId="NormalWeb">
    <w:name w:val="Normal (Web)"/>
    <w:basedOn w:val="Normal"/>
    <w:uiPriority w:val="99"/>
    <w:semiHidden/>
    <w:unhideWhenUsed/>
    <w:rsid w:val="002C7001"/>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A39A4"/>
    <w:rPr>
      <w:color w:val="800080" w:themeColor="followedHyperlink"/>
      <w:u w:val="single"/>
    </w:rPr>
  </w:style>
  <w:style w:type="paragraph" w:styleId="BodyText3">
    <w:name w:val="Body Text 3"/>
    <w:basedOn w:val="Normal"/>
    <w:link w:val="BodyText3Char1"/>
    <w:uiPriority w:val="99"/>
    <w:unhideWhenUsed/>
    <w:rsid w:val="003379B0"/>
    <w:pPr>
      <w:spacing w:after="120"/>
    </w:pPr>
    <w:rPr>
      <w:rFonts w:ascii="Times New Roman" w:eastAsia="Times New Roman" w:hAnsi="Times New Roman" w:cs="Times New Roman"/>
      <w:sz w:val="16"/>
      <w:szCs w:val="20"/>
      <w:lang w:eastAsia="en-AU"/>
    </w:rPr>
  </w:style>
  <w:style w:type="character" w:customStyle="1" w:styleId="BodyText3Char">
    <w:name w:val="Body Text 3 Char"/>
    <w:basedOn w:val="DefaultParagraphFont"/>
    <w:uiPriority w:val="99"/>
    <w:semiHidden/>
    <w:rsid w:val="003379B0"/>
    <w:rPr>
      <w:rFonts w:ascii="Calibri" w:hAnsi="Calibri" w:cs="Calibri"/>
      <w:sz w:val="16"/>
      <w:szCs w:val="16"/>
      <w:lang w:eastAsia="en-US"/>
    </w:rPr>
  </w:style>
  <w:style w:type="paragraph" w:customStyle="1" w:styleId="Style1">
    <w:name w:val="Style1"/>
    <w:basedOn w:val="ListBullet"/>
    <w:autoRedefine/>
    <w:uiPriority w:val="99"/>
    <w:rsid w:val="003379B0"/>
    <w:pPr>
      <w:tabs>
        <w:tab w:val="clear" w:pos="360"/>
      </w:tabs>
      <w:spacing w:after="120"/>
      <w:contextualSpacing w:val="0"/>
    </w:pPr>
    <w:rPr>
      <w:rFonts w:ascii="Arial" w:eastAsia="Times New Roman" w:hAnsi="Arial" w:cs="Times New Roman"/>
      <w:szCs w:val="20"/>
      <w:lang w:eastAsia="en-AU"/>
    </w:rPr>
  </w:style>
  <w:style w:type="paragraph" w:customStyle="1" w:styleId="Style3">
    <w:name w:val="Style3"/>
    <w:basedOn w:val="BodyText3"/>
    <w:autoRedefine/>
    <w:uiPriority w:val="99"/>
    <w:rsid w:val="003379B0"/>
    <w:rPr>
      <w:rFonts w:ascii="Arial" w:hAnsi="Arial" w:cs="Arial"/>
      <w:sz w:val="22"/>
      <w:szCs w:val="22"/>
    </w:rPr>
  </w:style>
  <w:style w:type="character" w:customStyle="1" w:styleId="BodyText3Char1">
    <w:name w:val="Body Text 3 Char1"/>
    <w:link w:val="BodyText3"/>
    <w:uiPriority w:val="99"/>
    <w:locked/>
    <w:rsid w:val="003379B0"/>
    <w:rPr>
      <w:rFonts w:ascii="Times New Roman" w:eastAsia="Times New Roman" w:hAnsi="Times New Roman" w:cs="Times New Roman"/>
      <w:sz w:val="16"/>
    </w:rPr>
  </w:style>
  <w:style w:type="paragraph" w:styleId="ListBullet">
    <w:name w:val="List Bullet"/>
    <w:basedOn w:val="Normal"/>
    <w:uiPriority w:val="99"/>
    <w:semiHidden/>
    <w:unhideWhenUsed/>
    <w:rsid w:val="003379B0"/>
    <w:pPr>
      <w:tabs>
        <w:tab w:val="num" w:pos="360"/>
      </w:tabs>
      <w:ind w:left="360" w:hanging="360"/>
      <w:contextualSpacing/>
    </w:pPr>
  </w:style>
  <w:style w:type="character" w:customStyle="1" w:styleId="CABNETParagraphAttChar">
    <w:name w:val="CABNET Paragraph Att Char"/>
    <w:basedOn w:val="DefaultParagraphFont"/>
    <w:link w:val="CABNETParagraphAtt"/>
    <w:locked/>
    <w:rsid w:val="00A94B29"/>
    <w:rPr>
      <w:rFonts w:ascii="Verdana" w:hAnsi="Verdana"/>
      <w:sz w:val="22"/>
      <w:szCs w:val="24"/>
    </w:rPr>
  </w:style>
  <w:style w:type="paragraph" w:customStyle="1" w:styleId="CABNETParagraphAtt">
    <w:name w:val="CABNET Paragraph Att"/>
    <w:basedOn w:val="Normal"/>
    <w:link w:val="CABNETParagraphAttChar"/>
    <w:qFormat/>
    <w:rsid w:val="00A94B29"/>
    <w:pPr>
      <w:spacing w:before="120" w:after="120"/>
    </w:pPr>
    <w:rPr>
      <w:rFonts w:ascii="Verdana" w:hAnsi="Verdana" w:cs="Arial"/>
      <w:szCs w:val="24"/>
      <w:lang w:eastAsia="en-AU"/>
    </w:rPr>
  </w:style>
  <w:style w:type="character" w:customStyle="1" w:styleId="ListParagraphChar">
    <w:name w:val="List Paragraph Char"/>
    <w:basedOn w:val="DefaultParagraphFont"/>
    <w:link w:val="ListParagraph"/>
    <w:locked/>
    <w:rsid w:val="00195D1B"/>
    <w:rPr>
      <w:rFonts w:ascii="Calibri" w:hAnsi="Calibri" w:cs="Calibri"/>
      <w:sz w:val="22"/>
      <w:szCs w:val="22"/>
      <w:lang w:eastAsia="en-US"/>
    </w:rPr>
  </w:style>
  <w:style w:type="paragraph" w:customStyle="1" w:styleId="Default">
    <w:name w:val="Default"/>
    <w:rsid w:val="00E954CF"/>
    <w:pPr>
      <w:autoSpaceDE w:val="0"/>
      <w:autoSpaceDN w:val="0"/>
      <w:adjustRightInd w:val="0"/>
    </w:pPr>
    <w:rPr>
      <w:color w:val="000000"/>
      <w:sz w:val="24"/>
      <w:szCs w:val="24"/>
    </w:rPr>
  </w:style>
  <w:style w:type="table" w:styleId="LightList-Accent1">
    <w:name w:val="Light List Accent 1"/>
    <w:basedOn w:val="TableNormal"/>
    <w:uiPriority w:val="61"/>
    <w:rsid w:val="00D60AE1"/>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8683D"/>
    <w:rPr>
      <w:sz w:val="16"/>
      <w:szCs w:val="16"/>
    </w:rPr>
  </w:style>
  <w:style w:type="paragraph" w:styleId="CommentText">
    <w:name w:val="annotation text"/>
    <w:basedOn w:val="Normal"/>
    <w:link w:val="CommentTextChar"/>
    <w:uiPriority w:val="99"/>
    <w:semiHidden/>
    <w:unhideWhenUsed/>
    <w:rsid w:val="0088683D"/>
    <w:rPr>
      <w:sz w:val="20"/>
      <w:szCs w:val="20"/>
    </w:rPr>
  </w:style>
  <w:style w:type="character" w:customStyle="1" w:styleId="CommentTextChar">
    <w:name w:val="Comment Text Char"/>
    <w:basedOn w:val="DefaultParagraphFont"/>
    <w:link w:val="CommentText"/>
    <w:uiPriority w:val="99"/>
    <w:semiHidden/>
    <w:rsid w:val="0088683D"/>
    <w:rPr>
      <w:rFonts w:ascii="Calibri" w:hAnsi="Calibri" w:cs="Calibri"/>
      <w:lang w:eastAsia="en-US"/>
    </w:rPr>
  </w:style>
  <w:style w:type="paragraph" w:styleId="CommentSubject">
    <w:name w:val="annotation subject"/>
    <w:basedOn w:val="CommentText"/>
    <w:next w:val="CommentText"/>
    <w:link w:val="CommentSubjectChar"/>
    <w:uiPriority w:val="99"/>
    <w:semiHidden/>
    <w:unhideWhenUsed/>
    <w:rsid w:val="0088683D"/>
    <w:rPr>
      <w:b/>
      <w:bCs/>
    </w:rPr>
  </w:style>
  <w:style w:type="character" w:customStyle="1" w:styleId="CommentSubjectChar">
    <w:name w:val="Comment Subject Char"/>
    <w:basedOn w:val="CommentTextChar"/>
    <w:link w:val="CommentSubject"/>
    <w:uiPriority w:val="99"/>
    <w:semiHidden/>
    <w:rsid w:val="0088683D"/>
    <w:rPr>
      <w:rFonts w:ascii="Calibri" w:hAnsi="Calibri" w:cs="Calibri"/>
      <w:b/>
      <w:bCs/>
      <w:lang w:eastAsia="en-US"/>
    </w:rPr>
  </w:style>
  <w:style w:type="table" w:styleId="MediumGrid3-Accent1">
    <w:name w:val="Medium Grid 3 Accent 1"/>
    <w:basedOn w:val="TableNormal"/>
    <w:uiPriority w:val="69"/>
    <w:rsid w:val="00193D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Dotum"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C1"/>
    <w:pPr>
      <w:spacing w:after="200"/>
    </w:pPr>
    <w:rPr>
      <w:rFonts w:ascii="Calibri" w:hAnsi="Calibri" w:cs="Calibri"/>
      <w:sz w:val="22"/>
      <w:szCs w:val="22"/>
      <w:lang w:eastAsia="en-US"/>
    </w:rPr>
  </w:style>
  <w:style w:type="paragraph" w:styleId="Heading1">
    <w:name w:val="heading 1"/>
    <w:next w:val="Normal"/>
    <w:link w:val="Heading1Char"/>
    <w:uiPriority w:val="9"/>
    <w:qFormat/>
    <w:rsid w:val="00270DA6"/>
    <w:pPr>
      <w:pageBreakBefore/>
      <w:widowControl w:val="0"/>
      <w:pBdr>
        <w:top w:val="single" w:sz="48" w:space="1" w:color="D1282E"/>
        <w:left w:val="single" w:sz="48" w:space="4" w:color="D1282E"/>
        <w:bottom w:val="single" w:sz="48" w:space="1" w:color="D1282E"/>
        <w:right w:val="single" w:sz="48" w:space="4" w:color="D1282E"/>
      </w:pBdr>
      <w:shd w:val="clear" w:color="auto" w:fill="D1282E"/>
      <w:spacing w:after="240"/>
      <w:ind w:right="5"/>
      <w:outlineLvl w:val="0"/>
    </w:pPr>
    <w:rPr>
      <w:rFonts w:ascii="Calibri" w:eastAsia="HYGothic-Extra" w:hAnsi="Calibri" w:cs="Calibri"/>
      <w:bCs/>
      <w:color w:val="FFFFFF" w:themeColor="background1"/>
      <w:spacing w:val="-20"/>
      <w:sz w:val="60"/>
      <w:szCs w:val="60"/>
      <w:lang w:eastAsia="en-US"/>
    </w:rPr>
  </w:style>
  <w:style w:type="paragraph" w:styleId="Heading2">
    <w:name w:val="heading 2"/>
    <w:next w:val="Normal"/>
    <w:link w:val="Heading2Char"/>
    <w:uiPriority w:val="9"/>
    <w:unhideWhenUsed/>
    <w:qFormat/>
    <w:rsid w:val="00324F80"/>
    <w:pPr>
      <w:spacing w:before="360" w:after="120"/>
      <w:outlineLvl w:val="1"/>
    </w:pPr>
    <w:rPr>
      <w:caps/>
      <w:sz w:val="32"/>
      <w:szCs w:val="32"/>
      <w:lang w:eastAsia="en-US"/>
    </w:rPr>
  </w:style>
  <w:style w:type="paragraph" w:styleId="Heading3">
    <w:name w:val="heading 3"/>
    <w:next w:val="Normal"/>
    <w:link w:val="Heading3Char"/>
    <w:uiPriority w:val="9"/>
    <w:unhideWhenUsed/>
    <w:qFormat/>
    <w:rsid w:val="00922E79"/>
    <w:pPr>
      <w:spacing w:before="60"/>
      <w:outlineLvl w:val="2"/>
    </w:pPr>
    <w:rPr>
      <w:rFonts w:ascii="Calibri" w:eastAsia="HYGothic-Extra" w:hAnsi="Calibri" w:cs="Tahoma"/>
      <w:b/>
      <w:bCs/>
      <w:caps/>
      <w:color w:val="D1282E"/>
      <w:sz w:val="22"/>
      <w:szCs w:val="22"/>
      <w:lang w:eastAsia="en-US"/>
    </w:rPr>
  </w:style>
  <w:style w:type="paragraph" w:styleId="Heading4">
    <w:name w:val="heading 4"/>
    <w:basedOn w:val="Normal"/>
    <w:next w:val="Normal"/>
    <w:link w:val="Heading4Char"/>
    <w:uiPriority w:val="9"/>
    <w:unhideWhenUsed/>
    <w:qFormat/>
    <w:pPr>
      <w:keepNext/>
      <w:keepLines/>
      <w:spacing w:before="200" w:after="0"/>
      <w:outlineLvl w:val="3"/>
    </w:pPr>
    <w:rPr>
      <w:rFonts w:ascii="Arial Black" w:eastAsia="HYGothic-Extra" w:hAnsi="Arial Black" w:cs="Tahoma"/>
      <w:bCs/>
      <w:i/>
      <w:iCs/>
      <w:color w:val="7A7A7A"/>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HYGothic-Extra" w:cs="Tahoma"/>
      <w:b/>
      <w:color w:val="5B5B5B"/>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Black" w:eastAsia="HYGothic-Extra" w:hAnsi="Arial Black" w:cs="Tahoma"/>
      <w:i/>
      <w:iCs/>
      <w:color w:val="5B5B5B"/>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HYGothic-Extra" w:cs="Tahoma"/>
      <w:b/>
      <w:iCs/>
      <w:color w:val="D1282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Arial Black" w:eastAsia="HYGothic-Extra" w:hAnsi="Arial Black" w:cs="Tahoma"/>
      <w:color w:val="7A7A7A"/>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Arial Black" w:eastAsia="HYGothic-Extra" w:hAnsi="Arial Black" w:cs="Tahoma"/>
      <w:i/>
      <w:iCs/>
      <w:color w:val="5B5B5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0DA6"/>
    <w:rPr>
      <w:rFonts w:ascii="Calibri" w:eastAsia="HYGothic-Extra" w:hAnsi="Calibri" w:cs="Calibri"/>
      <w:bCs/>
      <w:color w:val="FFFFFF" w:themeColor="background1"/>
      <w:spacing w:val="-20"/>
      <w:sz w:val="60"/>
      <w:szCs w:val="60"/>
      <w:shd w:val="clear" w:color="auto" w:fill="D1282E"/>
      <w:lang w:eastAsia="en-US"/>
    </w:rPr>
  </w:style>
  <w:style w:type="character" w:customStyle="1" w:styleId="Heading2Char">
    <w:name w:val="Heading 2 Char"/>
    <w:link w:val="Heading2"/>
    <w:uiPriority w:val="9"/>
    <w:rsid w:val="00324F80"/>
    <w:rPr>
      <w:caps/>
      <w:sz w:val="32"/>
      <w:szCs w:val="32"/>
      <w:lang w:eastAsia="en-US"/>
    </w:rPr>
  </w:style>
  <w:style w:type="character" w:customStyle="1" w:styleId="Heading3Char">
    <w:name w:val="Heading 3 Char"/>
    <w:link w:val="Heading3"/>
    <w:uiPriority w:val="9"/>
    <w:rsid w:val="00922E79"/>
    <w:rPr>
      <w:rFonts w:ascii="Calibri" w:eastAsia="HYGothic-Extra" w:hAnsi="Calibri" w:cs="Tahoma"/>
      <w:b/>
      <w:bCs/>
      <w:caps/>
      <w:color w:val="D1282E"/>
      <w:sz w:val="22"/>
      <w:szCs w:val="22"/>
      <w:lang w:eastAsia="en-US"/>
    </w:rPr>
  </w:style>
  <w:style w:type="character" w:customStyle="1" w:styleId="Heading4Char">
    <w:name w:val="Heading 4 Char"/>
    <w:link w:val="Heading4"/>
    <w:uiPriority w:val="9"/>
    <w:rPr>
      <w:rFonts w:ascii="Arial Black" w:eastAsia="HYGothic-Extra" w:hAnsi="Arial Black" w:cs="Tahoma"/>
      <w:bCs/>
      <w:i/>
      <w:iCs/>
      <w:color w:val="7A7A7A"/>
    </w:rPr>
  </w:style>
  <w:style w:type="character" w:customStyle="1" w:styleId="Heading5Char">
    <w:name w:val="Heading 5 Char"/>
    <w:link w:val="Heading5"/>
    <w:uiPriority w:val="9"/>
    <w:semiHidden/>
    <w:rPr>
      <w:rFonts w:eastAsia="HYGothic-Extra" w:cs="Tahoma"/>
      <w:b/>
      <w:color w:val="5B5B5B"/>
    </w:rPr>
  </w:style>
  <w:style w:type="character" w:customStyle="1" w:styleId="Heading6Char">
    <w:name w:val="Heading 6 Char"/>
    <w:link w:val="Heading6"/>
    <w:uiPriority w:val="9"/>
    <w:semiHidden/>
    <w:rPr>
      <w:rFonts w:ascii="Arial Black" w:eastAsia="HYGothic-Extra" w:hAnsi="Arial Black" w:cs="Tahoma"/>
      <w:i/>
      <w:iCs/>
      <w:color w:val="5B5B5B"/>
    </w:rPr>
  </w:style>
  <w:style w:type="character" w:customStyle="1" w:styleId="Heading7Char">
    <w:name w:val="Heading 7 Char"/>
    <w:link w:val="Heading7"/>
    <w:uiPriority w:val="9"/>
    <w:semiHidden/>
    <w:rPr>
      <w:rFonts w:eastAsia="HYGothic-Extra" w:cs="Tahoma"/>
      <w:b/>
      <w:iCs/>
      <w:color w:val="D1282E"/>
    </w:rPr>
  </w:style>
  <w:style w:type="character" w:customStyle="1" w:styleId="Heading8Char">
    <w:name w:val="Heading 8 Char"/>
    <w:link w:val="Heading8"/>
    <w:uiPriority w:val="9"/>
    <w:semiHidden/>
    <w:rPr>
      <w:rFonts w:ascii="Arial Black" w:eastAsia="HYGothic-Extra" w:hAnsi="Arial Black" w:cs="Tahoma"/>
      <w:color w:val="7A7A7A"/>
      <w:sz w:val="20"/>
      <w:szCs w:val="20"/>
    </w:rPr>
  </w:style>
  <w:style w:type="character" w:customStyle="1" w:styleId="Heading9Char">
    <w:name w:val="Heading 9 Char"/>
    <w:link w:val="Heading9"/>
    <w:uiPriority w:val="9"/>
    <w:semiHidden/>
    <w:rPr>
      <w:rFonts w:ascii="Arial Black" w:eastAsia="HYGothic-Extra" w:hAnsi="Arial Black" w:cs="Tahoma"/>
      <w:i/>
      <w:iCs/>
      <w:color w:val="5B5B5B"/>
      <w:sz w:val="20"/>
      <w:szCs w:val="20"/>
    </w:rPr>
  </w:style>
  <w:style w:type="paragraph" w:styleId="Caption">
    <w:name w:val="caption"/>
    <w:basedOn w:val="Normal"/>
    <w:next w:val="Normal"/>
    <w:uiPriority w:val="35"/>
    <w:unhideWhenUsed/>
    <w:qFormat/>
    <w:rsid w:val="0002479D"/>
    <w:rPr>
      <w:b/>
      <w:bCs/>
      <w:caps/>
      <w:color w:val="7A7A7A"/>
      <w:sz w:val="18"/>
      <w:szCs w:val="18"/>
    </w:rPr>
  </w:style>
  <w:style w:type="paragraph" w:styleId="Title">
    <w:name w:val="Title"/>
    <w:basedOn w:val="Normal"/>
    <w:next w:val="Normal"/>
    <w:link w:val="TitleChar"/>
    <w:uiPriority w:val="10"/>
    <w:qFormat/>
    <w:rsid w:val="00F03972"/>
    <w:pPr>
      <w:spacing w:before="360" w:after="60"/>
      <w:contextualSpacing/>
    </w:pPr>
    <w:rPr>
      <w:rFonts w:eastAsia="HYGothic-Extra"/>
      <w:b/>
      <w:caps/>
      <w:color w:val="005374"/>
      <w:spacing w:val="-20"/>
      <w:kern w:val="28"/>
      <w:sz w:val="60"/>
      <w:szCs w:val="60"/>
    </w:rPr>
  </w:style>
  <w:style w:type="character" w:customStyle="1" w:styleId="TitleChar">
    <w:name w:val="Title Char"/>
    <w:link w:val="Title"/>
    <w:uiPriority w:val="10"/>
    <w:rsid w:val="00F03972"/>
    <w:rPr>
      <w:rFonts w:ascii="Calibri" w:eastAsia="HYGothic-Extra" w:hAnsi="Calibri" w:cs="Calibri"/>
      <w:b/>
      <w:caps/>
      <w:color w:val="005374"/>
      <w:spacing w:val="-20"/>
      <w:kern w:val="28"/>
      <w:sz w:val="60"/>
      <w:szCs w:val="60"/>
      <w:lang w:eastAsia="en-US"/>
    </w:rPr>
  </w:style>
  <w:style w:type="paragraph" w:styleId="Subtitle">
    <w:name w:val="Subtitle"/>
    <w:basedOn w:val="Normal"/>
    <w:next w:val="Normal"/>
    <w:link w:val="SubtitleChar"/>
    <w:uiPriority w:val="11"/>
    <w:qFormat/>
    <w:rsid w:val="009960EE"/>
    <w:pPr>
      <w:numPr>
        <w:ilvl w:val="1"/>
      </w:numPr>
    </w:pPr>
    <w:rPr>
      <w:rFonts w:eastAsia="HYGothic-Extra"/>
      <w:b/>
      <w:bCs/>
      <w:iCs/>
      <w:color w:val="D1282E"/>
      <w:sz w:val="40"/>
      <w:szCs w:val="40"/>
    </w:rPr>
  </w:style>
  <w:style w:type="character" w:customStyle="1" w:styleId="SubtitleChar">
    <w:name w:val="Subtitle Char"/>
    <w:link w:val="Subtitle"/>
    <w:uiPriority w:val="11"/>
    <w:rsid w:val="009960EE"/>
    <w:rPr>
      <w:rFonts w:ascii="Calibri" w:eastAsia="HYGothic-Extra" w:hAnsi="Calibri" w:cs="Calibri"/>
      <w:b/>
      <w:bCs/>
      <w:iCs/>
      <w:color w:val="D1282E"/>
      <w:sz w:val="40"/>
      <w:szCs w:val="40"/>
      <w:lang w:val="en-US" w:eastAsia="en-US"/>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sid w:val="004C7DF0"/>
    <w:rPr>
      <w:rFonts w:ascii="Calibri" w:hAnsi="Calibri" w:cs="Calibri"/>
      <w:sz w:val="22"/>
      <w:szCs w:val="22"/>
      <w:lang w:val="en-US" w:eastAsia="en-US"/>
    </w:rPr>
  </w:style>
  <w:style w:type="character" w:customStyle="1" w:styleId="NoSpacingChar">
    <w:name w:val="No Spacing Char"/>
    <w:basedOn w:val="DefaultParagraphFont"/>
    <w:link w:val="NoSpacing"/>
    <w:uiPriority w:val="1"/>
    <w:rsid w:val="004C7DF0"/>
    <w:rPr>
      <w:rFonts w:ascii="Calibri" w:hAnsi="Calibri" w:cs="Calibri"/>
      <w:sz w:val="22"/>
      <w:szCs w:val="22"/>
      <w:lang w:val="en-US" w:eastAsia="en-US"/>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sz w:val="28"/>
    </w:rPr>
  </w:style>
  <w:style w:type="character" w:customStyle="1" w:styleId="QuoteChar">
    <w:name w:val="Quote Char"/>
    <w:link w:val="Quote"/>
    <w:uiPriority w:val="29"/>
    <w:rPr>
      <w:i/>
      <w:iCs/>
      <w:color w:val="7A7A7A"/>
      <w:sz w:val="28"/>
    </w:rPr>
  </w:style>
  <w:style w:type="paragraph" w:styleId="IntenseQuote">
    <w:name w:val="Intense Quote"/>
    <w:basedOn w:val="Normal"/>
    <w:next w:val="Normal"/>
    <w:link w:val="IntenseQuoteChar"/>
    <w:uiPriority w:val="30"/>
    <w:qFormat/>
    <w:pPr>
      <w:pBdr>
        <w:top w:val="single" w:sz="36" w:space="5" w:color="000000"/>
        <w:bottom w:val="single" w:sz="18" w:space="5" w:color="D1282E"/>
      </w:pBdr>
      <w:spacing w:before="200" w:after="280" w:line="360" w:lineRule="auto"/>
    </w:pPr>
    <w:rPr>
      <w:b/>
      <w:bCs/>
      <w:i/>
      <w:iCs/>
      <w:color w:val="7F7F7F"/>
      <w:sz w:val="26"/>
    </w:rPr>
  </w:style>
  <w:style w:type="character" w:customStyle="1" w:styleId="IntenseQuoteChar">
    <w:name w:val="Intense Quote Char"/>
    <w:link w:val="IntenseQuote"/>
    <w:uiPriority w:val="30"/>
    <w:rPr>
      <w:b/>
      <w:bCs/>
      <w:i/>
      <w:iCs/>
      <w:color w:val="7F7F7F"/>
      <w:sz w:val="26"/>
    </w:rPr>
  </w:style>
  <w:style w:type="character" w:styleId="SubtleEmphasis">
    <w:name w:val="Subtle Emphasis"/>
    <w:uiPriority w:val="19"/>
    <w:qFormat/>
    <w:rPr>
      <w:i/>
      <w:iCs/>
      <w:color w:val="7A7A7A"/>
    </w:rPr>
  </w:style>
  <w:style w:type="character" w:styleId="IntenseEmphasis">
    <w:name w:val="Intense Emphasis"/>
    <w:uiPriority w:val="21"/>
    <w:qFormat/>
    <w:rPr>
      <w:b/>
      <w:bCs/>
      <w:i/>
      <w:iCs/>
      <w:color w:val="D1282E"/>
    </w:rPr>
  </w:style>
  <w:style w:type="character" w:styleId="SubtleReference">
    <w:name w:val="Subtle Reference"/>
    <w:uiPriority w:val="31"/>
    <w:qFormat/>
    <w:rPr>
      <w:rFonts w:ascii="Arial" w:hAnsi="Arial"/>
      <w:smallCaps/>
      <w:color w:val="F5C201"/>
      <w:sz w:val="22"/>
      <w:u w:val="none"/>
    </w:rPr>
  </w:style>
  <w:style w:type="character" w:styleId="IntenseReference">
    <w:name w:val="Intense Reference"/>
    <w:uiPriority w:val="32"/>
    <w:qFormat/>
    <w:rPr>
      <w:rFonts w:ascii="Arial" w:hAnsi="Arial"/>
      <w:b/>
      <w:bCs/>
      <w:caps/>
      <w:color w:val="F5C201"/>
      <w:spacing w:val="5"/>
      <w:sz w:val="22"/>
      <w:u w:val="single"/>
    </w:rPr>
  </w:style>
  <w:style w:type="character" w:styleId="BookTitle">
    <w:name w:val="Book Title"/>
    <w:uiPriority w:val="33"/>
    <w:qFormat/>
    <w:rPr>
      <w:rFonts w:ascii="Arial" w:hAnsi="Arial"/>
      <w:b/>
      <w:bCs/>
      <w:caps/>
      <w:color w:val="3D3D3D"/>
      <w:spacing w:val="5"/>
      <w:sz w:val="22"/>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rPr>
      <w:color w:val="808080"/>
    </w:rPr>
  </w:style>
  <w:style w:type="paragraph" w:styleId="Header">
    <w:name w:val="header"/>
    <w:basedOn w:val="Normal"/>
    <w:link w:val="HeaderChar"/>
    <w:uiPriority w:val="99"/>
    <w:unhideWhenUsed/>
    <w:pPr>
      <w:tabs>
        <w:tab w:val="center" w:pos="4680"/>
        <w:tab w:val="right" w:pos="9360"/>
      </w:tabs>
      <w:spacing w:after="0"/>
    </w:pPr>
    <w:rPr>
      <w:lang w:eastAsia="ja-JP"/>
    </w:rPr>
  </w:style>
  <w:style w:type="character" w:customStyle="1" w:styleId="HeaderChar">
    <w:name w:val="Header Char"/>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891D94"/>
    <w:pPr>
      <w:tabs>
        <w:tab w:val="right" w:leader="dot" w:pos="8931"/>
      </w:tabs>
    </w:pPr>
    <w:rPr>
      <w:rFonts w:asciiTheme="minorHAnsi" w:hAnsiTheme="minorHAnsi" w:cstheme="minorHAnsi"/>
      <w:b/>
      <w:caps/>
    </w:rPr>
  </w:style>
  <w:style w:type="paragraph" w:styleId="TOC2">
    <w:name w:val="toc 2"/>
    <w:basedOn w:val="Normal"/>
    <w:next w:val="Normal"/>
    <w:autoRedefine/>
    <w:uiPriority w:val="39"/>
    <w:unhideWhenUsed/>
    <w:rsid w:val="00891D94"/>
    <w:pPr>
      <w:tabs>
        <w:tab w:val="right" w:leader="dot" w:pos="8931"/>
      </w:tabs>
      <w:ind w:left="220"/>
    </w:pPr>
    <w:rPr>
      <w:rFonts w:asciiTheme="minorHAnsi" w:hAnsiTheme="minorHAnsi" w:cstheme="minorHAnsi"/>
    </w:rPr>
  </w:style>
  <w:style w:type="paragraph" w:styleId="TOC3">
    <w:name w:val="toc 3"/>
    <w:basedOn w:val="Normal"/>
    <w:next w:val="Normal"/>
    <w:autoRedefine/>
    <w:uiPriority w:val="39"/>
    <w:unhideWhenUsed/>
    <w:rsid w:val="00891D94"/>
    <w:pPr>
      <w:tabs>
        <w:tab w:val="right" w:leader="dot" w:pos="8931"/>
      </w:tabs>
      <w:ind w:left="440"/>
    </w:pPr>
    <w:rPr>
      <w:rFonts w:asciiTheme="minorHAnsi" w:hAnsiTheme="minorHAnsi" w:cstheme="minorHAnsi"/>
    </w:rPr>
  </w:style>
  <w:style w:type="character" w:styleId="Hyperlink">
    <w:name w:val="Hyperlink"/>
    <w:uiPriority w:val="99"/>
    <w:unhideWhenUsed/>
    <w:rsid w:val="009960EE"/>
    <w:rPr>
      <w:color w:val="0000FF"/>
      <w:u w:val="single"/>
    </w:rPr>
  </w:style>
  <w:style w:type="table" w:styleId="TableGrid">
    <w:name w:val="Table Grid"/>
    <w:basedOn w:val="TableNormal"/>
    <w:uiPriority w:val="59"/>
    <w:rsid w:val="00F72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BATableStyle1">
    <w:name w:val="NBA Table Style 1"/>
    <w:basedOn w:val="TableGrid"/>
    <w:uiPriority w:val="99"/>
    <w:rsid w:val="00FA6FC5"/>
    <w:pPr>
      <w:contextualSpacing/>
    </w:pPr>
    <w:rPr>
      <w:rFonts w:ascii="Calibri" w:hAnsi="Calibri"/>
      <w:color w:val="000000" w:themeColor="text1"/>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 w:type="table" w:customStyle="1" w:styleId="NBATableStyle2">
    <w:name w:val="NBA Table Style 2"/>
    <w:basedOn w:val="NBATableStyle1"/>
    <w:uiPriority w:val="99"/>
    <w:rsid w:val="00FA6FC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table" w:customStyle="1" w:styleId="NBATableStyle3">
    <w:name w:val="NBA Table Style 3"/>
    <w:basedOn w:val="NBATableStyle1"/>
    <w:uiPriority w:val="99"/>
    <w:rsid w:val="006C3372"/>
    <w:tblPr>
      <w:tblStyleRow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left"/>
      </w:pPr>
      <w:rPr>
        <w:b/>
        <w:color w:val="C00000"/>
      </w:rPr>
      <w:tblPr/>
      <w:tcPr>
        <w:tcBorders>
          <w:top w:val="single" w:sz="8" w:space="0" w:color="C00000"/>
          <w:left w:val="nil"/>
          <w:bottom w:val="single" w:sz="8" w:space="0" w:color="C00000"/>
          <w:right w:val="nil"/>
          <w:insideH w:val="nil"/>
          <w:insideV w:val="nil"/>
          <w:tl2br w:val="nil"/>
          <w:tr2bl w:val="nil"/>
        </w:tcBorders>
        <w:shd w:val="clear" w:color="auto" w:fill="FFFFFF" w:themeFill="background1"/>
      </w:tcPr>
    </w:tblStylePr>
    <w:tblStylePr w:type="lastRow">
      <w:rPr>
        <w:b/>
      </w:rPr>
      <w:tblPr/>
      <w:tcPr>
        <w:tcBorders>
          <w:top w:val="single" w:sz="8" w:space="0" w:color="auto"/>
          <w:left w:val="nil"/>
          <w:bottom w:val="single" w:sz="8" w:space="0" w:color="auto"/>
          <w:right w:val="nil"/>
          <w:insideH w:val="nil"/>
          <w:insideV w:val="nil"/>
          <w:tl2br w:val="nil"/>
          <w:tr2bl w:val="nil"/>
        </w:tcBorders>
        <w:shd w:val="clear" w:color="auto" w:fill="FFFFFF" w:themeFill="background1"/>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background1" w:themeFillShade="F2"/>
      </w:tcPr>
    </w:tblStylePr>
    <w:tblStylePr w:type="band2Horz">
      <w:tblPr/>
      <w:tcPr>
        <w:tcBorders>
          <w:top w:val="nil"/>
          <w:left w:val="nil"/>
          <w:bottom w:val="nil"/>
          <w:right w:val="nil"/>
          <w:insideH w:val="nil"/>
          <w:insideV w:val="nil"/>
        </w:tcBorders>
        <w:shd w:val="clear" w:color="auto" w:fill="FFFFFF" w:themeFill="background1"/>
      </w:tcPr>
    </w:tblStylePr>
  </w:style>
  <w:style w:type="paragraph" w:customStyle="1" w:styleId="QuickTip">
    <w:name w:val="Quick Tip"/>
    <w:basedOn w:val="NoSpacing"/>
    <w:qFormat/>
    <w:rsid w:val="00922E79"/>
    <w:rPr>
      <w:b/>
      <w:caps/>
      <w:color w:val="548DD4" w:themeColor="text2" w:themeTint="99"/>
    </w:rPr>
  </w:style>
  <w:style w:type="paragraph" w:styleId="NormalWeb">
    <w:name w:val="Normal (Web)"/>
    <w:basedOn w:val="Normal"/>
    <w:uiPriority w:val="99"/>
    <w:semiHidden/>
    <w:unhideWhenUsed/>
    <w:rsid w:val="002C7001"/>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A39A4"/>
    <w:rPr>
      <w:color w:val="800080" w:themeColor="followedHyperlink"/>
      <w:u w:val="single"/>
    </w:rPr>
  </w:style>
  <w:style w:type="paragraph" w:styleId="BodyText3">
    <w:name w:val="Body Text 3"/>
    <w:basedOn w:val="Normal"/>
    <w:link w:val="BodyText3Char1"/>
    <w:uiPriority w:val="99"/>
    <w:unhideWhenUsed/>
    <w:rsid w:val="003379B0"/>
    <w:pPr>
      <w:spacing w:after="120"/>
    </w:pPr>
    <w:rPr>
      <w:rFonts w:ascii="Times New Roman" w:eastAsia="Times New Roman" w:hAnsi="Times New Roman" w:cs="Times New Roman"/>
      <w:sz w:val="16"/>
      <w:szCs w:val="20"/>
      <w:lang w:eastAsia="en-AU"/>
    </w:rPr>
  </w:style>
  <w:style w:type="character" w:customStyle="1" w:styleId="BodyText3Char">
    <w:name w:val="Body Text 3 Char"/>
    <w:basedOn w:val="DefaultParagraphFont"/>
    <w:uiPriority w:val="99"/>
    <w:semiHidden/>
    <w:rsid w:val="003379B0"/>
    <w:rPr>
      <w:rFonts w:ascii="Calibri" w:hAnsi="Calibri" w:cs="Calibri"/>
      <w:sz w:val="16"/>
      <w:szCs w:val="16"/>
      <w:lang w:eastAsia="en-US"/>
    </w:rPr>
  </w:style>
  <w:style w:type="paragraph" w:customStyle="1" w:styleId="Style1">
    <w:name w:val="Style1"/>
    <w:basedOn w:val="ListBullet"/>
    <w:autoRedefine/>
    <w:uiPriority w:val="99"/>
    <w:rsid w:val="003379B0"/>
    <w:pPr>
      <w:tabs>
        <w:tab w:val="clear" w:pos="360"/>
      </w:tabs>
      <w:spacing w:after="120"/>
      <w:contextualSpacing w:val="0"/>
    </w:pPr>
    <w:rPr>
      <w:rFonts w:ascii="Arial" w:eastAsia="Times New Roman" w:hAnsi="Arial" w:cs="Times New Roman"/>
      <w:szCs w:val="20"/>
      <w:lang w:eastAsia="en-AU"/>
    </w:rPr>
  </w:style>
  <w:style w:type="paragraph" w:customStyle="1" w:styleId="Style3">
    <w:name w:val="Style3"/>
    <w:basedOn w:val="BodyText3"/>
    <w:autoRedefine/>
    <w:uiPriority w:val="99"/>
    <w:rsid w:val="003379B0"/>
    <w:rPr>
      <w:rFonts w:ascii="Arial" w:hAnsi="Arial" w:cs="Arial"/>
      <w:sz w:val="22"/>
      <w:szCs w:val="22"/>
    </w:rPr>
  </w:style>
  <w:style w:type="character" w:customStyle="1" w:styleId="BodyText3Char1">
    <w:name w:val="Body Text 3 Char1"/>
    <w:link w:val="BodyText3"/>
    <w:uiPriority w:val="99"/>
    <w:locked/>
    <w:rsid w:val="003379B0"/>
    <w:rPr>
      <w:rFonts w:ascii="Times New Roman" w:eastAsia="Times New Roman" w:hAnsi="Times New Roman" w:cs="Times New Roman"/>
      <w:sz w:val="16"/>
    </w:rPr>
  </w:style>
  <w:style w:type="paragraph" w:styleId="ListBullet">
    <w:name w:val="List Bullet"/>
    <w:basedOn w:val="Normal"/>
    <w:uiPriority w:val="99"/>
    <w:semiHidden/>
    <w:unhideWhenUsed/>
    <w:rsid w:val="003379B0"/>
    <w:pPr>
      <w:tabs>
        <w:tab w:val="num" w:pos="360"/>
      </w:tabs>
      <w:ind w:left="360" w:hanging="360"/>
      <w:contextualSpacing/>
    </w:pPr>
  </w:style>
  <w:style w:type="character" w:customStyle="1" w:styleId="CABNETParagraphAttChar">
    <w:name w:val="CABNET Paragraph Att Char"/>
    <w:basedOn w:val="DefaultParagraphFont"/>
    <w:link w:val="CABNETParagraphAtt"/>
    <w:locked/>
    <w:rsid w:val="00A94B29"/>
    <w:rPr>
      <w:rFonts w:ascii="Verdana" w:hAnsi="Verdana"/>
      <w:sz w:val="22"/>
      <w:szCs w:val="24"/>
    </w:rPr>
  </w:style>
  <w:style w:type="paragraph" w:customStyle="1" w:styleId="CABNETParagraphAtt">
    <w:name w:val="CABNET Paragraph Att"/>
    <w:basedOn w:val="Normal"/>
    <w:link w:val="CABNETParagraphAttChar"/>
    <w:qFormat/>
    <w:rsid w:val="00A94B29"/>
    <w:pPr>
      <w:spacing w:before="120" w:after="120"/>
    </w:pPr>
    <w:rPr>
      <w:rFonts w:ascii="Verdana" w:hAnsi="Verdana" w:cs="Arial"/>
      <w:szCs w:val="24"/>
      <w:lang w:eastAsia="en-AU"/>
    </w:rPr>
  </w:style>
  <w:style w:type="character" w:customStyle="1" w:styleId="ListParagraphChar">
    <w:name w:val="List Paragraph Char"/>
    <w:basedOn w:val="DefaultParagraphFont"/>
    <w:link w:val="ListParagraph"/>
    <w:locked/>
    <w:rsid w:val="00195D1B"/>
    <w:rPr>
      <w:rFonts w:ascii="Calibri" w:hAnsi="Calibri" w:cs="Calibri"/>
      <w:sz w:val="22"/>
      <w:szCs w:val="22"/>
      <w:lang w:eastAsia="en-US"/>
    </w:rPr>
  </w:style>
  <w:style w:type="paragraph" w:customStyle="1" w:styleId="Default">
    <w:name w:val="Default"/>
    <w:rsid w:val="00E954CF"/>
    <w:pPr>
      <w:autoSpaceDE w:val="0"/>
      <w:autoSpaceDN w:val="0"/>
      <w:adjustRightInd w:val="0"/>
    </w:pPr>
    <w:rPr>
      <w:color w:val="000000"/>
      <w:sz w:val="24"/>
      <w:szCs w:val="24"/>
    </w:rPr>
  </w:style>
  <w:style w:type="table" w:styleId="LightList-Accent1">
    <w:name w:val="Light List Accent 1"/>
    <w:basedOn w:val="TableNormal"/>
    <w:uiPriority w:val="61"/>
    <w:rsid w:val="00D60AE1"/>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8683D"/>
    <w:rPr>
      <w:sz w:val="16"/>
      <w:szCs w:val="16"/>
    </w:rPr>
  </w:style>
  <w:style w:type="paragraph" w:styleId="CommentText">
    <w:name w:val="annotation text"/>
    <w:basedOn w:val="Normal"/>
    <w:link w:val="CommentTextChar"/>
    <w:uiPriority w:val="99"/>
    <w:semiHidden/>
    <w:unhideWhenUsed/>
    <w:rsid w:val="0088683D"/>
    <w:rPr>
      <w:sz w:val="20"/>
      <w:szCs w:val="20"/>
    </w:rPr>
  </w:style>
  <w:style w:type="character" w:customStyle="1" w:styleId="CommentTextChar">
    <w:name w:val="Comment Text Char"/>
    <w:basedOn w:val="DefaultParagraphFont"/>
    <w:link w:val="CommentText"/>
    <w:uiPriority w:val="99"/>
    <w:semiHidden/>
    <w:rsid w:val="0088683D"/>
    <w:rPr>
      <w:rFonts w:ascii="Calibri" w:hAnsi="Calibri" w:cs="Calibri"/>
      <w:lang w:eastAsia="en-US"/>
    </w:rPr>
  </w:style>
  <w:style w:type="paragraph" w:styleId="CommentSubject">
    <w:name w:val="annotation subject"/>
    <w:basedOn w:val="CommentText"/>
    <w:next w:val="CommentText"/>
    <w:link w:val="CommentSubjectChar"/>
    <w:uiPriority w:val="99"/>
    <w:semiHidden/>
    <w:unhideWhenUsed/>
    <w:rsid w:val="0088683D"/>
    <w:rPr>
      <w:b/>
      <w:bCs/>
    </w:rPr>
  </w:style>
  <w:style w:type="character" w:customStyle="1" w:styleId="CommentSubjectChar">
    <w:name w:val="Comment Subject Char"/>
    <w:basedOn w:val="CommentTextChar"/>
    <w:link w:val="CommentSubject"/>
    <w:uiPriority w:val="99"/>
    <w:semiHidden/>
    <w:rsid w:val="0088683D"/>
    <w:rPr>
      <w:rFonts w:ascii="Calibri" w:hAnsi="Calibri" w:cs="Calibri"/>
      <w:b/>
      <w:bCs/>
      <w:lang w:eastAsia="en-US"/>
    </w:rPr>
  </w:style>
  <w:style w:type="table" w:styleId="MediumGrid3-Accent1">
    <w:name w:val="Medium Grid 3 Accent 1"/>
    <w:basedOn w:val="TableNormal"/>
    <w:uiPriority w:val="69"/>
    <w:rsid w:val="00193D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9370">
      <w:bodyDiv w:val="1"/>
      <w:marLeft w:val="0"/>
      <w:marRight w:val="0"/>
      <w:marTop w:val="0"/>
      <w:marBottom w:val="0"/>
      <w:divBdr>
        <w:top w:val="none" w:sz="0" w:space="0" w:color="auto"/>
        <w:left w:val="none" w:sz="0" w:space="0" w:color="auto"/>
        <w:bottom w:val="none" w:sz="0" w:space="0" w:color="auto"/>
        <w:right w:val="none" w:sz="0" w:space="0" w:color="auto"/>
      </w:divBdr>
    </w:div>
    <w:div w:id="310646007">
      <w:bodyDiv w:val="1"/>
      <w:marLeft w:val="0"/>
      <w:marRight w:val="0"/>
      <w:marTop w:val="0"/>
      <w:marBottom w:val="0"/>
      <w:divBdr>
        <w:top w:val="none" w:sz="0" w:space="0" w:color="auto"/>
        <w:left w:val="none" w:sz="0" w:space="0" w:color="auto"/>
        <w:bottom w:val="none" w:sz="0" w:space="0" w:color="auto"/>
        <w:right w:val="none" w:sz="0" w:space="0" w:color="auto"/>
      </w:divBdr>
      <w:divsChild>
        <w:div w:id="1409228649">
          <w:marLeft w:val="0"/>
          <w:marRight w:val="0"/>
          <w:marTop w:val="0"/>
          <w:marBottom w:val="0"/>
          <w:divBdr>
            <w:top w:val="none" w:sz="0" w:space="0" w:color="auto"/>
            <w:left w:val="none" w:sz="0" w:space="0" w:color="auto"/>
            <w:bottom w:val="none" w:sz="0" w:space="0" w:color="auto"/>
            <w:right w:val="none" w:sz="0" w:space="0" w:color="auto"/>
          </w:divBdr>
        </w:div>
      </w:divsChild>
    </w:div>
    <w:div w:id="372849657">
      <w:bodyDiv w:val="1"/>
      <w:marLeft w:val="0"/>
      <w:marRight w:val="0"/>
      <w:marTop w:val="0"/>
      <w:marBottom w:val="0"/>
      <w:divBdr>
        <w:top w:val="none" w:sz="0" w:space="0" w:color="auto"/>
        <w:left w:val="none" w:sz="0" w:space="0" w:color="auto"/>
        <w:bottom w:val="none" w:sz="0" w:space="0" w:color="auto"/>
        <w:right w:val="none" w:sz="0" w:space="0" w:color="auto"/>
      </w:divBdr>
    </w:div>
    <w:div w:id="490222581">
      <w:bodyDiv w:val="1"/>
      <w:marLeft w:val="0"/>
      <w:marRight w:val="0"/>
      <w:marTop w:val="0"/>
      <w:marBottom w:val="0"/>
      <w:divBdr>
        <w:top w:val="none" w:sz="0" w:space="0" w:color="auto"/>
        <w:left w:val="none" w:sz="0" w:space="0" w:color="auto"/>
        <w:bottom w:val="none" w:sz="0" w:space="0" w:color="auto"/>
        <w:right w:val="none" w:sz="0" w:space="0" w:color="auto"/>
      </w:divBdr>
      <w:divsChild>
        <w:div w:id="359284314">
          <w:marLeft w:val="0"/>
          <w:marRight w:val="0"/>
          <w:marTop w:val="0"/>
          <w:marBottom w:val="0"/>
          <w:divBdr>
            <w:top w:val="none" w:sz="0" w:space="0" w:color="auto"/>
            <w:left w:val="none" w:sz="0" w:space="0" w:color="auto"/>
            <w:bottom w:val="none" w:sz="0" w:space="0" w:color="auto"/>
            <w:right w:val="none" w:sz="0" w:space="0" w:color="auto"/>
          </w:divBdr>
        </w:div>
      </w:divsChild>
    </w:div>
    <w:div w:id="709493133">
      <w:bodyDiv w:val="1"/>
      <w:marLeft w:val="0"/>
      <w:marRight w:val="0"/>
      <w:marTop w:val="0"/>
      <w:marBottom w:val="0"/>
      <w:divBdr>
        <w:top w:val="none" w:sz="0" w:space="0" w:color="auto"/>
        <w:left w:val="none" w:sz="0" w:space="0" w:color="auto"/>
        <w:bottom w:val="none" w:sz="0" w:space="0" w:color="auto"/>
        <w:right w:val="none" w:sz="0" w:space="0" w:color="auto"/>
      </w:divBdr>
    </w:div>
    <w:div w:id="1390570166">
      <w:bodyDiv w:val="1"/>
      <w:marLeft w:val="0"/>
      <w:marRight w:val="0"/>
      <w:marTop w:val="0"/>
      <w:marBottom w:val="0"/>
      <w:divBdr>
        <w:top w:val="none" w:sz="0" w:space="0" w:color="auto"/>
        <w:left w:val="none" w:sz="0" w:space="0" w:color="auto"/>
        <w:bottom w:val="none" w:sz="0" w:space="0" w:color="auto"/>
        <w:right w:val="none" w:sz="0" w:space="0" w:color="auto"/>
      </w:divBdr>
    </w:div>
    <w:div w:id="1709257486">
      <w:bodyDiv w:val="1"/>
      <w:marLeft w:val="0"/>
      <w:marRight w:val="0"/>
      <w:marTop w:val="0"/>
      <w:marBottom w:val="0"/>
      <w:divBdr>
        <w:top w:val="none" w:sz="0" w:space="0" w:color="auto"/>
        <w:left w:val="none" w:sz="0" w:space="0" w:color="auto"/>
        <w:bottom w:val="none" w:sz="0" w:space="0" w:color="auto"/>
        <w:right w:val="none" w:sz="0" w:space="0" w:color="auto"/>
      </w:divBdr>
    </w:div>
    <w:div w:id="1811627616">
      <w:bodyDiv w:val="1"/>
      <w:marLeft w:val="0"/>
      <w:marRight w:val="0"/>
      <w:marTop w:val="0"/>
      <w:marBottom w:val="0"/>
      <w:divBdr>
        <w:top w:val="none" w:sz="0" w:space="0" w:color="auto"/>
        <w:left w:val="none" w:sz="0" w:space="0" w:color="auto"/>
        <w:bottom w:val="none" w:sz="0" w:space="0" w:color="auto"/>
        <w:right w:val="none" w:sz="0" w:space="0" w:color="auto"/>
      </w:divBdr>
    </w:div>
    <w:div w:id="1904608026">
      <w:bodyDiv w:val="1"/>
      <w:marLeft w:val="0"/>
      <w:marRight w:val="0"/>
      <w:marTop w:val="0"/>
      <w:marBottom w:val="0"/>
      <w:divBdr>
        <w:top w:val="none" w:sz="0" w:space="0" w:color="auto"/>
        <w:left w:val="none" w:sz="0" w:space="0" w:color="auto"/>
        <w:bottom w:val="none" w:sz="0" w:space="0" w:color="auto"/>
        <w:right w:val="none" w:sz="0" w:space="0" w:color="auto"/>
      </w:divBdr>
    </w:div>
    <w:div w:id="2084180876">
      <w:bodyDiv w:val="1"/>
      <w:marLeft w:val="0"/>
      <w:marRight w:val="0"/>
      <w:marTop w:val="0"/>
      <w:marBottom w:val="0"/>
      <w:divBdr>
        <w:top w:val="none" w:sz="0" w:space="0" w:color="auto"/>
        <w:left w:val="none" w:sz="0" w:space="0" w:color="auto"/>
        <w:bottom w:val="none" w:sz="0" w:space="0" w:color="auto"/>
        <w:right w:val="none" w:sz="0" w:space="0" w:color="auto"/>
      </w:divBdr>
      <w:divsChild>
        <w:div w:id="744838754">
          <w:marLeft w:val="0"/>
          <w:marRight w:val="0"/>
          <w:marTop w:val="0"/>
          <w:marBottom w:val="0"/>
          <w:divBdr>
            <w:top w:val="none" w:sz="0" w:space="0" w:color="auto"/>
            <w:left w:val="none" w:sz="0" w:space="0" w:color="auto"/>
            <w:bottom w:val="none" w:sz="0" w:space="0" w:color="auto"/>
            <w:right w:val="none" w:sz="0" w:space="0" w:color="auto"/>
          </w:divBdr>
          <w:divsChild>
            <w:div w:id="1101992018">
              <w:marLeft w:val="0"/>
              <w:marRight w:val="0"/>
              <w:marTop w:val="0"/>
              <w:marBottom w:val="0"/>
              <w:divBdr>
                <w:top w:val="none" w:sz="0" w:space="0" w:color="auto"/>
                <w:left w:val="none" w:sz="0" w:space="0" w:color="auto"/>
                <w:bottom w:val="none" w:sz="0" w:space="0" w:color="auto"/>
                <w:right w:val="none" w:sz="0" w:space="0" w:color="auto"/>
              </w:divBdr>
              <w:divsChild>
                <w:div w:id="1394815732">
                  <w:marLeft w:val="0"/>
                  <w:marRight w:val="0"/>
                  <w:marTop w:val="0"/>
                  <w:marBottom w:val="0"/>
                  <w:divBdr>
                    <w:top w:val="none" w:sz="0" w:space="0" w:color="auto"/>
                    <w:left w:val="none" w:sz="0" w:space="0" w:color="auto"/>
                    <w:bottom w:val="none" w:sz="0" w:space="0" w:color="auto"/>
                    <w:right w:val="none" w:sz="0" w:space="0" w:color="auto"/>
                  </w:divBdr>
                  <w:divsChild>
                    <w:div w:id="14010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ood.gov.au/wastag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customXml/itemProps2.xml><?xml version="1.0" encoding="utf-8"?>
<ds:datastoreItem xmlns:ds="http://schemas.openxmlformats.org/officeDocument/2006/customXml" ds:itemID="{9A8A051C-00DF-478D-B4D9-078376DB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NBA - National Blood and Blood Product Wastage Reduction Strategy</vt:lpstr>
    </vt:vector>
  </TitlesOfParts>
  <Company>National Blood Authority, Australia</Company>
  <LinksUpToDate>false</LinksUpToDate>
  <CharactersWithSpaces>19521</CharactersWithSpaces>
  <SharedDoc>false</SharedDoc>
  <HLinks>
    <vt:vector size="24" baseType="variant">
      <vt:variant>
        <vt:i4>1769522</vt:i4>
      </vt:variant>
      <vt:variant>
        <vt:i4>20</vt:i4>
      </vt:variant>
      <vt:variant>
        <vt:i4>0</vt:i4>
      </vt:variant>
      <vt:variant>
        <vt:i4>5</vt:i4>
      </vt:variant>
      <vt:variant>
        <vt:lpwstr/>
      </vt:variant>
      <vt:variant>
        <vt:lpwstr>_Toc337046293</vt:lpwstr>
      </vt:variant>
      <vt:variant>
        <vt:i4>1769522</vt:i4>
      </vt:variant>
      <vt:variant>
        <vt:i4>14</vt:i4>
      </vt:variant>
      <vt:variant>
        <vt:i4>0</vt:i4>
      </vt:variant>
      <vt:variant>
        <vt:i4>5</vt:i4>
      </vt:variant>
      <vt:variant>
        <vt:lpwstr/>
      </vt:variant>
      <vt:variant>
        <vt:lpwstr>_Toc337046292</vt:lpwstr>
      </vt:variant>
      <vt:variant>
        <vt:i4>1769522</vt:i4>
      </vt:variant>
      <vt:variant>
        <vt:i4>8</vt:i4>
      </vt:variant>
      <vt:variant>
        <vt:i4>0</vt:i4>
      </vt:variant>
      <vt:variant>
        <vt:i4>5</vt:i4>
      </vt:variant>
      <vt:variant>
        <vt:lpwstr/>
      </vt:variant>
      <vt:variant>
        <vt:lpwstr>_Toc337046291</vt:lpwstr>
      </vt:variant>
      <vt:variant>
        <vt:i4>1769522</vt:i4>
      </vt:variant>
      <vt:variant>
        <vt:i4>2</vt:i4>
      </vt:variant>
      <vt:variant>
        <vt:i4>0</vt:i4>
      </vt:variant>
      <vt:variant>
        <vt:i4>5</vt:i4>
      </vt:variant>
      <vt:variant>
        <vt:lpwstr/>
      </vt:variant>
      <vt:variant>
        <vt:lpwstr>_Toc337046290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 National Blood and Blood Product Wastage Reduction Strategy</dc:title>
  <dc:creator>National Blood Authority, Australia</dc:creator>
  <cp:lastModifiedBy>Brooke Chadwick</cp:lastModifiedBy>
  <cp:revision>3</cp:revision>
  <cp:lastPrinted>2013-02-14T20:48:00Z</cp:lastPrinted>
  <dcterms:created xsi:type="dcterms:W3CDTF">2013-03-09T00:49:00Z</dcterms:created>
  <dcterms:modified xsi:type="dcterms:W3CDTF">2013-03-09T00:50:00Z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