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111" w:rsidRDefault="00B76111">
      <w:pPr>
        <w:spacing w:line="276" w:lineRule="auto"/>
        <w:rPr>
          <w:rFonts w:eastAsia="HYGothic-Extra"/>
          <w:bCs/>
          <w:i/>
          <w:color w:val="1E1E1E"/>
          <w:spacing w:val="-20"/>
          <w:sz w:val="56"/>
          <w:szCs w:val="72"/>
        </w:rPr>
      </w:pPr>
      <w:r w:rsidRPr="00184BA5">
        <w:rPr>
          <w:i/>
          <w:noProof/>
          <w:lang w:eastAsia="en-AU"/>
        </w:rPr>
        <mc:AlternateContent>
          <mc:Choice Requires="wps">
            <w:drawing>
              <wp:anchor distT="0" distB="0" distL="114300" distR="114300" simplePos="0" relativeHeight="251661312" behindDoc="0" locked="0" layoutInCell="1" allowOverlap="1" wp14:anchorId="19F99E0F" wp14:editId="18316F42">
                <wp:simplePos x="0" y="0"/>
                <wp:positionH relativeFrom="column">
                  <wp:posOffset>3453765</wp:posOffset>
                </wp:positionH>
                <wp:positionV relativeFrom="paragraph">
                  <wp:posOffset>-790575</wp:posOffset>
                </wp:positionV>
                <wp:extent cx="3200400" cy="73437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343775"/>
                        </a:xfrm>
                        <a:prstGeom prst="rect">
                          <a:avLst/>
                        </a:prstGeom>
                        <a:solidFill>
                          <a:srgbClr val="FFFFFF"/>
                        </a:solidFill>
                        <a:ln w="9525">
                          <a:noFill/>
                          <a:miter lim="800000"/>
                          <a:headEnd/>
                          <a:tailEnd/>
                        </a:ln>
                      </wps:spPr>
                      <wps:txbx>
                        <w:txbxContent>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What are the side effects?</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All medical treatment products, including blood products, have risks.</w:t>
                            </w:r>
                          </w:p>
                          <w:p w:rsidR="00F50AB5" w:rsidRPr="00F50AB5" w:rsidRDefault="00F50AB5" w:rsidP="00F50AB5">
                            <w:pPr>
                              <w:suppressAutoHyphens/>
                              <w:autoSpaceDE w:val="0"/>
                              <w:autoSpaceDN w:val="0"/>
                              <w:adjustRightInd w:val="0"/>
                              <w:spacing w:before="113"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 most common reactions or side effects to immunoglobulin products are:</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tiredness</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headache</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nausea (feeling sick)</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stomach and back pain</w:t>
                            </w:r>
                          </w:p>
                          <w:p w:rsidR="00F50AB5" w:rsidRPr="00F50AB5" w:rsidRDefault="00F50AB5" w:rsidP="00F50AB5">
                            <w:pPr>
                              <w:suppressAutoHyphens/>
                              <w:autoSpaceDE w:val="0"/>
                              <w:autoSpaceDN w:val="0"/>
                              <w:adjustRightInd w:val="0"/>
                              <w:spacing w:before="113"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Rarely, more serious allergic reactions occur. Symptoms include:</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shortness of breath</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wheezing</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tongue/throat swelling</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chest tightness</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skin rash</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dizziness</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low blood pressure</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Very rarely there can be an increased risk of blood clotting which in some people may contribute to heart attack, stroke or other vascular problems or worsening renal failure. These almost only occur in people who already have risk factors.</w:t>
                            </w:r>
                          </w:p>
                          <w:p w:rsidR="00F50AB5" w:rsidRPr="00877510" w:rsidRDefault="00F50AB5" w:rsidP="00F50AB5">
                            <w:pPr>
                              <w:suppressAutoHyphens/>
                              <w:autoSpaceDE w:val="0"/>
                              <w:autoSpaceDN w:val="0"/>
                              <w:adjustRightInd w:val="0"/>
                              <w:spacing w:before="227" w:after="0"/>
                              <w:textAlignment w:val="center"/>
                              <w:rPr>
                                <w:rFonts w:ascii="TitilliumText25L" w:eastAsiaTheme="minorHAnsi" w:hAnsi="TitilliumText25L" w:cs="TitilliumText25L"/>
                                <w:b/>
                                <w:color w:val="CF0A2C"/>
                                <w:sz w:val="20"/>
                                <w:szCs w:val="20"/>
                                <w:lang w:val="en-US"/>
                              </w:rPr>
                            </w:pPr>
                            <w:r w:rsidRPr="00877510">
                              <w:rPr>
                                <w:rFonts w:ascii="TitilliumText25L" w:eastAsiaTheme="minorHAnsi" w:hAnsi="TitilliumText25L" w:cs="TitilliumText25L"/>
                                <w:b/>
                                <w:color w:val="CF0A2C"/>
                                <w:sz w:val="20"/>
                                <w:szCs w:val="20"/>
                                <w:lang w:val="en-US"/>
                              </w:rPr>
                              <w:t>Any of these or any other symptoms should be reported to a doctor or nurse immediately, or before your next treatment.</w:t>
                            </w:r>
                          </w:p>
                          <w:p w:rsid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FEA62B"/>
                                <w:sz w:val="24"/>
                                <w:szCs w:val="24"/>
                                <w:lang w:val="en-US"/>
                              </w:rPr>
                            </w:pPr>
                          </w:p>
                          <w:p w:rsidR="00F50AB5" w:rsidRP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How is the dose determined?</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 treatment dose varies with each diagnosis and is also based on body weight. The dose given, the timing between treatments and the number of treatments given depends on your response to treatment and test results. Your doctor will inform you of what is best for you and look at your progress at set times. It is important that your doctor sees you at regular intervals to make sure the treatment is working and to make changes if needed.</w:t>
                            </w:r>
                          </w:p>
                          <w:p w:rsidR="001C56DC" w:rsidRDefault="001C56DC" w:rsidP="001C56DC">
                            <w:pPr>
                              <w:spacing w:before="91" w:after="0" w:line="245" w:lineRule="auto"/>
                              <w:ind w:right="-80"/>
                              <w:rPr>
                                <w:rFonts w:ascii="TitilliumText25L" w:eastAsia="TitilliumText25L" w:hAnsi="TitilliumText25L" w:cs="TitilliumText25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95pt;margin-top:-62.25pt;width:252pt;height:5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" stroked="f">
                <v:textbox>
                  <w:txbxContent>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What are the side effects?</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All medical treatment products, including blood products, have risks.</w:t>
                      </w:r>
                    </w:p>
                    <w:p w:rsidR="00F50AB5" w:rsidRPr="00F50AB5" w:rsidRDefault="00F50AB5" w:rsidP="00F50AB5">
                      <w:pPr>
                        <w:suppressAutoHyphens/>
                        <w:autoSpaceDE w:val="0"/>
                        <w:autoSpaceDN w:val="0"/>
                        <w:adjustRightInd w:val="0"/>
                        <w:spacing w:before="113"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 most common reactions or side effects to immunoglobulin products are:</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tiredness</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headache</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nausea (feeling sick)</w:t>
                      </w:r>
                    </w:p>
                    <w:p w:rsidR="00F50AB5" w:rsidRPr="00F50AB5" w:rsidRDefault="00F50AB5" w:rsidP="00F50AB5">
                      <w:pPr>
                        <w:pStyle w:val="ListParagraph"/>
                        <w:numPr>
                          <w:ilvl w:val="0"/>
                          <w:numId w:val="13"/>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stomach and back pain</w:t>
                      </w:r>
                    </w:p>
                    <w:p w:rsidR="00F50AB5" w:rsidRPr="00F50AB5" w:rsidRDefault="00F50AB5" w:rsidP="00F50AB5">
                      <w:pPr>
                        <w:suppressAutoHyphens/>
                        <w:autoSpaceDE w:val="0"/>
                        <w:autoSpaceDN w:val="0"/>
                        <w:adjustRightInd w:val="0"/>
                        <w:spacing w:before="113"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Rarely, more serious allergic reactions occur. Symptoms include:</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shortness of breath</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wheezing</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tongue/throat swelling</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chest tightness</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skin rash</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dizziness</w:t>
                      </w:r>
                    </w:p>
                    <w:p w:rsidR="00F50AB5" w:rsidRPr="00F50AB5" w:rsidRDefault="00F50AB5" w:rsidP="00F50AB5">
                      <w:pPr>
                        <w:pStyle w:val="ListParagraph"/>
                        <w:numPr>
                          <w:ilvl w:val="0"/>
                          <w:numId w:val="14"/>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low blood pressure</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Very rarely there can be an increased risk of blood clotting which in some people may contribute to heart attack, stroke or other vascular problems or worsening renal failure. These almost only occur in people who already have risk factors.</w:t>
                      </w:r>
                    </w:p>
                    <w:p w:rsidR="00F50AB5" w:rsidRPr="00877510" w:rsidRDefault="00F50AB5" w:rsidP="00F50AB5">
                      <w:pPr>
                        <w:suppressAutoHyphens/>
                        <w:autoSpaceDE w:val="0"/>
                        <w:autoSpaceDN w:val="0"/>
                        <w:adjustRightInd w:val="0"/>
                        <w:spacing w:before="227" w:after="0"/>
                        <w:textAlignment w:val="center"/>
                        <w:rPr>
                          <w:rFonts w:ascii="TitilliumText25L" w:eastAsiaTheme="minorHAnsi" w:hAnsi="TitilliumText25L" w:cs="TitilliumText25L"/>
                          <w:b/>
                          <w:color w:val="CF0A2C"/>
                          <w:sz w:val="20"/>
                          <w:szCs w:val="20"/>
                          <w:lang w:val="en-US"/>
                        </w:rPr>
                      </w:pPr>
                      <w:r w:rsidRPr="00877510">
                        <w:rPr>
                          <w:rFonts w:ascii="TitilliumText25L" w:eastAsiaTheme="minorHAnsi" w:hAnsi="TitilliumText25L" w:cs="TitilliumText25L"/>
                          <w:b/>
                          <w:color w:val="CF0A2C"/>
                          <w:sz w:val="20"/>
                          <w:szCs w:val="20"/>
                          <w:lang w:val="en-US"/>
                        </w:rPr>
                        <w:t>Any of these or any other symptoms should be reported to a doctor or nurse immediately, or before your next treatment.</w:t>
                      </w:r>
                    </w:p>
                    <w:p w:rsid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FEA62B"/>
                          <w:sz w:val="24"/>
                          <w:szCs w:val="24"/>
                          <w:lang w:val="en-US"/>
                        </w:rPr>
                      </w:pPr>
                    </w:p>
                    <w:p w:rsidR="00F50AB5" w:rsidRP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How is the dose determined?</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 treatment dose varies with each diagnosis and is also based on body weight. The dose given, the timing between treatments and the number of treatments given depends on your response to treatment and test results. Your doctor will inform you of what is best for you and look at your progress at set times. It is important that your doctor sees you at regular intervals to make sure the treatment is working and to make changes if needed.</w:t>
                      </w:r>
                    </w:p>
                    <w:p w:rsidR="001C56DC" w:rsidRDefault="001C56DC" w:rsidP="001C56DC">
                      <w:pPr>
                        <w:spacing w:before="91" w:after="0" w:line="245" w:lineRule="auto"/>
                        <w:ind w:right="-80"/>
                        <w:rPr>
                          <w:rFonts w:ascii="TitilliumText25L" w:eastAsia="TitilliumText25L" w:hAnsi="TitilliumText25L" w:cs="TitilliumText25L"/>
                          <w:sz w:val="20"/>
                          <w:szCs w:val="20"/>
                        </w:rPr>
                      </w:pPr>
                    </w:p>
                  </w:txbxContent>
                </v:textbox>
              </v:shape>
            </w:pict>
          </mc:Fallback>
        </mc:AlternateContent>
      </w:r>
      <w:r w:rsidRPr="00184BA5">
        <w:rPr>
          <w:i/>
          <w:noProof/>
          <w:lang w:eastAsia="en-AU"/>
        </w:rPr>
        <mc:AlternateContent>
          <mc:Choice Requires="wps">
            <w:drawing>
              <wp:anchor distT="0" distB="0" distL="114300" distR="114300" simplePos="0" relativeHeight="251659264" behindDoc="0" locked="0" layoutInCell="1" allowOverlap="1" wp14:anchorId="3B85E73B" wp14:editId="1B049B60">
                <wp:simplePos x="0" y="0"/>
                <wp:positionH relativeFrom="column">
                  <wp:posOffset>-108585</wp:posOffset>
                </wp:positionH>
                <wp:positionV relativeFrom="paragraph">
                  <wp:posOffset>-790575</wp:posOffset>
                </wp:positionV>
                <wp:extent cx="3200400" cy="7343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343775"/>
                        </a:xfrm>
                        <a:prstGeom prst="rect">
                          <a:avLst/>
                        </a:prstGeom>
                        <a:noFill/>
                        <a:ln w="9525">
                          <a:noFill/>
                          <a:miter lim="800000"/>
                          <a:headEnd/>
                          <a:tailEnd/>
                        </a:ln>
                      </wps:spPr>
                      <wps:txbx>
                        <w:txbxContent>
                          <w:p w:rsidR="00F50AB5" w:rsidRP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000000"/>
                                <w:lang w:val="en-US"/>
                              </w:rPr>
                            </w:pPr>
                            <w:r w:rsidRPr="00F50AB5">
                              <w:rPr>
                                <w:rFonts w:ascii="TitilliumText25L" w:eastAsiaTheme="minorHAnsi" w:hAnsi="TitilliumText25L" w:cs="TitilliumText25L"/>
                                <w:color w:val="FEA62B"/>
                                <w:sz w:val="24"/>
                                <w:szCs w:val="24"/>
                                <w:lang w:val="en-US"/>
                              </w:rPr>
                              <w:t>What is immunoglobulin treatment?</w:t>
                            </w:r>
                            <w:r w:rsidRPr="00F50AB5">
                              <w:rPr>
                                <w:rFonts w:ascii="TitilliumText25L" w:eastAsiaTheme="minorHAnsi" w:hAnsi="TitilliumText25L" w:cs="TitilliumText25L"/>
                                <w:color w:val="000000"/>
                                <w:sz w:val="20"/>
                                <w:szCs w:val="20"/>
                                <w:lang w:val="en-US"/>
                              </w:rPr>
                              <w:t xml:space="preserve">  </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There are two types of treatment:</w:t>
                            </w:r>
                          </w:p>
                          <w:p w:rsidR="00F50AB5" w:rsidRPr="00F50AB5" w:rsidRDefault="00F50AB5" w:rsidP="00F50AB5">
                            <w:pPr>
                              <w:pStyle w:val="ListParagraph"/>
                              <w:numPr>
                                <w:ilvl w:val="0"/>
                                <w:numId w:val="15"/>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Replacement – immunoglobulin infusions given to people whose body is unable to produce enough antibodies to maintain a healthy immune system.  These conditions can be inherited (primary) or acquired (secondary) due to certain diseases or treatments. </w:t>
                            </w:r>
                          </w:p>
                          <w:p w:rsidR="00F50AB5" w:rsidRPr="00F50AB5" w:rsidRDefault="00F50AB5" w:rsidP="00F50AB5">
                            <w:pPr>
                              <w:pStyle w:val="ListParagraph"/>
                              <w:numPr>
                                <w:ilvl w:val="0"/>
                                <w:numId w:val="15"/>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Immunomodulation – immunoglobulin treatment given to people when there is an autoimmune disorder diagnosed and the immune system attacks its own body tissues by </w:t>
                            </w:r>
                            <w:r w:rsidR="0088664A" w:rsidRPr="00F50AB5">
                              <w:rPr>
                                <w:rFonts w:ascii="TitilliumText25L" w:eastAsiaTheme="minorHAnsi" w:hAnsi="TitilliumText25L" w:cs="TitilliumText25L"/>
                                <w:color w:val="000000"/>
                                <w:sz w:val="20"/>
                                <w:szCs w:val="20"/>
                                <w:lang w:val="en-US"/>
                              </w:rPr>
                              <w:t>mistake. Treatments</w:t>
                            </w:r>
                            <w:r w:rsidRPr="00F50AB5">
                              <w:rPr>
                                <w:rFonts w:ascii="TitilliumText25L" w:eastAsiaTheme="minorHAnsi" w:hAnsi="TitilliumText25L" w:cs="TitilliumText25L"/>
                                <w:color w:val="000000"/>
                                <w:sz w:val="20"/>
                                <w:szCs w:val="20"/>
                                <w:lang w:val="en-US"/>
                              </w:rPr>
                              <w:t xml:space="preserve"> vary with each diagnosis and may be for a single dose or short course of treatment, or for treatment over a longer period.  Regular check-ups may be required to measure your response and ensure the best treatment options are used.</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You will be asked to pro</w:t>
                            </w:r>
                            <w:r w:rsidR="00877510">
                              <w:rPr>
                                <w:rFonts w:ascii="TitilliumText25L" w:eastAsiaTheme="minorHAnsi" w:hAnsi="TitilliumText25L" w:cs="TitilliumText25L"/>
                                <w:color w:val="000000"/>
                                <w:sz w:val="20"/>
                                <w:szCs w:val="20"/>
                                <w:lang w:val="en-US"/>
                              </w:rPr>
                              <w:t>vide your verbal or written</w:t>
                            </w:r>
                            <w:r w:rsidRPr="00F50AB5">
                              <w:rPr>
                                <w:rFonts w:ascii="TitilliumText25L" w:eastAsiaTheme="minorHAnsi" w:hAnsi="TitilliumText25L" w:cs="TitilliumText25L"/>
                                <w:color w:val="000000"/>
                                <w:sz w:val="20"/>
                                <w:szCs w:val="20"/>
                                <w:lang w:val="en-US"/>
                              </w:rPr>
                              <w:t xml:space="preserve"> co</w:t>
                            </w:r>
                            <w:r w:rsidR="00877510">
                              <w:rPr>
                                <w:rFonts w:ascii="TitilliumText25L" w:eastAsiaTheme="minorHAnsi" w:hAnsi="TitilliumText25L" w:cs="TitilliumText25L"/>
                                <w:color w:val="000000"/>
                                <w:sz w:val="20"/>
                                <w:szCs w:val="20"/>
                                <w:lang w:val="en-US"/>
                              </w:rPr>
                              <w:t>nsent</w:t>
                            </w:r>
                            <w:r w:rsidRPr="00F50AB5">
                              <w:rPr>
                                <w:rFonts w:ascii="TitilliumText25L" w:eastAsiaTheme="minorHAnsi" w:hAnsi="TitilliumText25L" w:cs="TitilliumText25L"/>
                                <w:color w:val="000000"/>
                                <w:sz w:val="20"/>
                                <w:szCs w:val="20"/>
                                <w:lang w:val="en-US"/>
                              </w:rPr>
                              <w:t xml:space="preserve"> to the collection, retention and use of personal information and clinical data to assess authorisation for initial and continuing access to government funded product.</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A summary of this information, which will be un-named to protect your privacy, may be used to assist in planning and managing the supply of SCIg products, and to improve treatment programs.</w:t>
                            </w:r>
                          </w:p>
                          <w:p w:rsidR="00184BA5" w:rsidRDefault="00F50AB5" w:rsidP="00F50AB5">
                            <w:pP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If you don’t qualify for government funded product, there are other options available. Please see the National Blood Authority website (www.blood.gov.au) for more information.</w:t>
                            </w:r>
                          </w:p>
                          <w:p w:rsidR="00F50AB5" w:rsidRP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 xml:space="preserve">What are the risks of infection from a </w:t>
                            </w:r>
                            <w:r w:rsidRPr="00F50AB5">
                              <w:rPr>
                                <w:rFonts w:ascii="TitilliumText25L" w:eastAsiaTheme="minorHAnsi" w:hAnsi="TitilliumText25L" w:cs="TitilliumText25L"/>
                                <w:color w:val="FEA62B"/>
                                <w:sz w:val="24"/>
                                <w:szCs w:val="24"/>
                                <w:lang w:val="en-US"/>
                              </w:rPr>
                              <w:br/>
                              <w:t>blood product?</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All immunoglobulin products have been screened and tested to protect patients from diseases such as hepatitis (B and C) and human immunodeficiency virus (HIV/AIDS). These products have also gone through at least two processes that destroy viruses. There is a risk of infection but it is very low. In Australia, there has never been a reported case of an infection from this treatment.</w:t>
                            </w:r>
                          </w:p>
                          <w:p w:rsidR="00F50AB5" w:rsidRDefault="00F50AB5" w:rsidP="00F50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5pt;margin-top:-62.25pt;width:252pt;height:5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" filled="f" stroked="f">
                <v:textbox>
                  <w:txbxContent>
                    <w:p w:rsidR="00F50AB5" w:rsidRP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000000"/>
                          <w:lang w:val="en-US"/>
                        </w:rPr>
                      </w:pPr>
                      <w:r w:rsidRPr="00F50AB5">
                        <w:rPr>
                          <w:rFonts w:ascii="TitilliumText25L" w:eastAsiaTheme="minorHAnsi" w:hAnsi="TitilliumText25L" w:cs="TitilliumText25L"/>
                          <w:color w:val="FEA62B"/>
                          <w:sz w:val="24"/>
                          <w:szCs w:val="24"/>
                          <w:lang w:val="en-US"/>
                        </w:rPr>
                        <w:t>What is immunoglobulin treatment?</w:t>
                      </w:r>
                      <w:r w:rsidRPr="00F50AB5">
                        <w:rPr>
                          <w:rFonts w:ascii="TitilliumText25L" w:eastAsiaTheme="minorHAnsi" w:hAnsi="TitilliumText25L" w:cs="TitilliumText25L"/>
                          <w:color w:val="000000"/>
                          <w:sz w:val="20"/>
                          <w:szCs w:val="20"/>
                          <w:lang w:val="en-US"/>
                        </w:rPr>
                        <w:t xml:space="preserve">  </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There are two types of treatment:</w:t>
                      </w:r>
                    </w:p>
                    <w:p w:rsidR="00F50AB5" w:rsidRPr="00F50AB5" w:rsidRDefault="00F50AB5" w:rsidP="00F50AB5">
                      <w:pPr>
                        <w:pStyle w:val="ListParagraph"/>
                        <w:numPr>
                          <w:ilvl w:val="0"/>
                          <w:numId w:val="15"/>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Replacement – immunoglobulin infusions given to people whose body is unable to produce enough antibodies to maintain a healthy immune system.  These conditions can be inherited (primary) or acquired (secondary) due to certain diseases or treatments. </w:t>
                      </w:r>
                    </w:p>
                    <w:p w:rsidR="00F50AB5" w:rsidRPr="00F50AB5" w:rsidRDefault="00F50AB5" w:rsidP="00F50AB5">
                      <w:pPr>
                        <w:pStyle w:val="ListParagraph"/>
                        <w:numPr>
                          <w:ilvl w:val="0"/>
                          <w:numId w:val="15"/>
                        </w:numPr>
                        <w:suppressAutoHyphens/>
                        <w:autoSpaceDE w:val="0"/>
                        <w:autoSpaceDN w:val="0"/>
                        <w:adjustRightInd w:val="0"/>
                        <w:spacing w:before="57"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Immunomodulation – immunoglobulin treatment given to people when there is an autoimmune disorder diagnosed and the immune system attacks its own body tissues by </w:t>
                      </w:r>
                      <w:r w:rsidR="0088664A" w:rsidRPr="00F50AB5">
                        <w:rPr>
                          <w:rFonts w:ascii="TitilliumText25L" w:eastAsiaTheme="minorHAnsi" w:hAnsi="TitilliumText25L" w:cs="TitilliumText25L"/>
                          <w:color w:val="000000"/>
                          <w:sz w:val="20"/>
                          <w:szCs w:val="20"/>
                          <w:lang w:val="en-US"/>
                        </w:rPr>
                        <w:t>mistake. Treatments</w:t>
                      </w:r>
                      <w:r w:rsidRPr="00F50AB5">
                        <w:rPr>
                          <w:rFonts w:ascii="TitilliumText25L" w:eastAsiaTheme="minorHAnsi" w:hAnsi="TitilliumText25L" w:cs="TitilliumText25L"/>
                          <w:color w:val="000000"/>
                          <w:sz w:val="20"/>
                          <w:szCs w:val="20"/>
                          <w:lang w:val="en-US"/>
                        </w:rPr>
                        <w:t xml:space="preserve"> vary with each diagnosis and may be for a single dose or short course of treatment, or for treatment over a longer period.  Regular check-ups may be required to measure your response and ensure the best treatment options are used.</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You will be asked to pro</w:t>
                      </w:r>
                      <w:r w:rsidR="00877510">
                        <w:rPr>
                          <w:rFonts w:ascii="TitilliumText25L" w:eastAsiaTheme="minorHAnsi" w:hAnsi="TitilliumText25L" w:cs="TitilliumText25L"/>
                          <w:color w:val="000000"/>
                          <w:sz w:val="20"/>
                          <w:szCs w:val="20"/>
                          <w:lang w:val="en-US"/>
                        </w:rPr>
                        <w:t>vide your verbal or written</w:t>
                      </w:r>
                      <w:r w:rsidRPr="00F50AB5">
                        <w:rPr>
                          <w:rFonts w:ascii="TitilliumText25L" w:eastAsiaTheme="minorHAnsi" w:hAnsi="TitilliumText25L" w:cs="TitilliumText25L"/>
                          <w:color w:val="000000"/>
                          <w:sz w:val="20"/>
                          <w:szCs w:val="20"/>
                          <w:lang w:val="en-US"/>
                        </w:rPr>
                        <w:t xml:space="preserve"> co</w:t>
                      </w:r>
                      <w:r w:rsidR="00877510">
                        <w:rPr>
                          <w:rFonts w:ascii="TitilliumText25L" w:eastAsiaTheme="minorHAnsi" w:hAnsi="TitilliumText25L" w:cs="TitilliumText25L"/>
                          <w:color w:val="000000"/>
                          <w:sz w:val="20"/>
                          <w:szCs w:val="20"/>
                          <w:lang w:val="en-US"/>
                        </w:rPr>
                        <w:t>nsent</w:t>
                      </w:r>
                      <w:r w:rsidRPr="00F50AB5">
                        <w:rPr>
                          <w:rFonts w:ascii="TitilliumText25L" w:eastAsiaTheme="minorHAnsi" w:hAnsi="TitilliumText25L" w:cs="TitilliumText25L"/>
                          <w:color w:val="000000"/>
                          <w:sz w:val="20"/>
                          <w:szCs w:val="20"/>
                          <w:lang w:val="en-US"/>
                        </w:rPr>
                        <w:t xml:space="preserve"> to the collection, retention and use of personal information and clinical data to assess authorisation for initial and continuing access to government funded product.</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A summary of this information, which will be un-named to protect your privacy, may be used to assist in planning and managing the supply of SCIg products, and to improve treatment programs.</w:t>
                      </w:r>
                    </w:p>
                    <w:p w:rsidR="00184BA5" w:rsidRDefault="00F50AB5" w:rsidP="00F50AB5">
                      <w:pP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If you don’t qualify for government funded product, there are other options available. Please see the National Blood Authority website (www.blood.gov.au) for more information.</w:t>
                      </w:r>
                    </w:p>
                    <w:p w:rsidR="00F50AB5" w:rsidRPr="00F50AB5" w:rsidRDefault="00F50AB5" w:rsidP="00F50AB5">
                      <w:pPr>
                        <w:autoSpaceDE w:val="0"/>
                        <w:autoSpaceDN w:val="0"/>
                        <w:adjustRightInd w:val="0"/>
                        <w:spacing w:before="57" w:after="28"/>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 xml:space="preserve">What are the risks of infection from a </w:t>
                      </w:r>
                      <w:r w:rsidRPr="00F50AB5">
                        <w:rPr>
                          <w:rFonts w:ascii="TitilliumText25L" w:eastAsiaTheme="minorHAnsi" w:hAnsi="TitilliumText25L" w:cs="TitilliumText25L"/>
                          <w:color w:val="FEA62B"/>
                          <w:sz w:val="24"/>
                          <w:szCs w:val="24"/>
                          <w:lang w:val="en-US"/>
                        </w:rPr>
                        <w:br/>
                        <w:t>blood product?</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All immunoglobulin products have been screened and tested to protect patients from diseases such as hepatitis (B and C) and human immunodeficiency virus (HIV/AIDS). These products have also gone through at least two processes that destroy viruses. There is a risk of infection but it is very low. In Australia, there has never been a reported case of an infection from this treatment.</w:t>
                      </w:r>
                    </w:p>
                    <w:p w:rsidR="00F50AB5" w:rsidRDefault="00F50AB5" w:rsidP="00F50AB5"/>
                  </w:txbxContent>
                </v:textbox>
              </v:shape>
            </w:pict>
          </mc:Fallback>
        </mc:AlternateContent>
      </w:r>
      <w:r w:rsidRPr="00184BA5">
        <w:rPr>
          <w:i/>
          <w:noProof/>
          <w:lang w:eastAsia="en-AU"/>
        </w:rPr>
        <mc:AlternateContent>
          <mc:Choice Requires="wps">
            <w:drawing>
              <wp:anchor distT="0" distB="0" distL="114300" distR="114300" simplePos="0" relativeHeight="251663360" behindDoc="0" locked="0" layoutInCell="1" allowOverlap="1" wp14:anchorId="1AC97CA8" wp14:editId="3EBFF726">
                <wp:simplePos x="0" y="0"/>
                <wp:positionH relativeFrom="column">
                  <wp:posOffset>7035165</wp:posOffset>
                </wp:positionH>
                <wp:positionV relativeFrom="paragraph">
                  <wp:posOffset>-790575</wp:posOffset>
                </wp:positionV>
                <wp:extent cx="3200400" cy="7343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343775"/>
                        </a:xfrm>
                        <a:prstGeom prst="rect">
                          <a:avLst/>
                        </a:prstGeom>
                        <a:solidFill>
                          <a:srgbClr val="FFFFFF"/>
                        </a:solidFill>
                        <a:ln w="9525">
                          <a:noFill/>
                          <a:miter lim="800000"/>
                          <a:headEnd/>
                          <a:tailEnd/>
                        </a:ln>
                      </wps:spPr>
                      <wps:txbx>
                        <w:txbxContent>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Self-administered therapy with SCIg</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Depending on your condition and circumstances, you may be offered SCIg therapy for self-administration outside hospital.   You will be provided with a Patient Receipt and Use Diary to record your treatments.  This information will need to be provided regularly to your doctor or supporting nurse.  </w:t>
                            </w:r>
                          </w:p>
                          <w:p w:rsid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You must tell hospital staff if you have not used any SCIg that has been provided to you and the reason.  This could be because it was accidentally broken, expired, had visible particles or because of a reaction that you had and did not use the entire product.  </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8"/>
                                <w:szCs w:val="20"/>
                                <w:lang w:val="en-US"/>
                              </w:rPr>
                            </w:pPr>
                          </w:p>
                          <w:p w:rsidR="000D2C2C" w:rsidRDefault="00F50AB5" w:rsidP="001C56DC">
                            <w:pPr>
                              <w:spacing w:before="95" w:after="0"/>
                              <w:ind w:right="-80"/>
                              <w:jc w:val="center"/>
                              <w:rPr>
                                <w:rFonts w:ascii="TitilliumText25L" w:eastAsia="TitilliumText25L" w:hAnsi="TitilliumText25L" w:cs="TitilliumText25L"/>
                                <w:color w:val="FEA62B"/>
                                <w:sz w:val="24"/>
                                <w:szCs w:val="24"/>
                              </w:rPr>
                            </w:pPr>
                            <w:r>
                              <w:rPr>
                                <w:rFonts w:ascii="TitilliumText25L" w:eastAsia="TitilliumText25L" w:hAnsi="TitilliumText25L" w:cs="TitilliumText25L"/>
                                <w:noProof/>
                                <w:color w:val="FEA62B"/>
                                <w:sz w:val="24"/>
                                <w:szCs w:val="24"/>
                                <w:lang w:eastAsia="en-AU"/>
                              </w:rPr>
                              <w:drawing>
                                <wp:inline distT="0" distB="0" distL="0" distR="0">
                                  <wp:extent cx="1566878" cy="104436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2_ig delivery_IMG_4537.jpg"/>
                                          <pic:cNvPicPr/>
                                        </pic:nvPicPr>
                                        <pic:blipFill>
                                          <a:blip r:embed="rId8">
                                            <a:extLst>
                                              <a:ext uri="{28A0092B-C50C-407E-A947-70E740481C1C}">
                                                <a14:useLocalDpi xmlns:a14="http://schemas.microsoft.com/office/drawing/2010/main" val="0"/>
                                              </a:ext>
                                            </a:extLst>
                                          </a:blip>
                                          <a:stretch>
                                            <a:fillRect/>
                                          </a:stretch>
                                        </pic:blipFill>
                                        <pic:spPr>
                                          <a:xfrm>
                                            <a:off x="0" y="0"/>
                                            <a:ext cx="1566605" cy="1044183"/>
                                          </a:xfrm>
                                          <a:prstGeom prst="rect">
                                            <a:avLst/>
                                          </a:prstGeom>
                                        </pic:spPr>
                                      </pic:pic>
                                    </a:graphicData>
                                  </a:graphic>
                                </wp:inline>
                              </w:drawing>
                            </w:r>
                            <w:r>
                              <w:rPr>
                                <w:rFonts w:ascii="TitilliumText25L" w:eastAsia="TitilliumText25L" w:hAnsi="TitilliumText25L" w:cs="TitilliumText25L"/>
                                <w:noProof/>
                                <w:color w:val="FEA62B"/>
                                <w:sz w:val="24"/>
                                <w:szCs w:val="24"/>
                                <w:lang w:eastAsia="en-AU"/>
                              </w:rPr>
                              <w:t xml:space="preserve">  </w:t>
                            </w:r>
                            <w:r>
                              <w:rPr>
                                <w:rFonts w:ascii="TitilliumText25L" w:eastAsia="TitilliumText25L" w:hAnsi="TitilliumText25L" w:cs="TitilliumText25L"/>
                                <w:noProof/>
                                <w:color w:val="FEA62B"/>
                                <w:sz w:val="24"/>
                                <w:szCs w:val="24"/>
                                <w:lang w:eastAsia="en-AU"/>
                              </w:rPr>
                              <w:drawing>
                                <wp:inline distT="0" distB="0" distL="0" distR="0">
                                  <wp:extent cx="1219200" cy="1037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2_ig esky_IMG_4556.jpg"/>
                                          <pic:cNvPicPr/>
                                        </pic:nvPicPr>
                                        <pic:blipFill>
                                          <a:blip r:embed="rId9">
                                            <a:extLst>
                                              <a:ext uri="{28A0092B-C50C-407E-A947-70E740481C1C}">
                                                <a14:useLocalDpi xmlns:a14="http://schemas.microsoft.com/office/drawing/2010/main" val="0"/>
                                              </a:ext>
                                            </a:extLst>
                                          </a:blip>
                                          <a:stretch>
                                            <a:fillRect/>
                                          </a:stretch>
                                        </pic:blipFill>
                                        <pic:spPr>
                                          <a:xfrm>
                                            <a:off x="0" y="0"/>
                                            <a:ext cx="1218686" cy="1036833"/>
                                          </a:xfrm>
                                          <a:prstGeom prst="rect">
                                            <a:avLst/>
                                          </a:prstGeom>
                                        </pic:spPr>
                                      </pic:pic>
                                    </a:graphicData>
                                  </a:graphic>
                                </wp:inline>
                              </w:drawing>
                            </w:r>
                          </w:p>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
                                <w:szCs w:val="24"/>
                                <w:lang w:val="en-US"/>
                              </w:rPr>
                            </w:pPr>
                          </w:p>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Transport and storage of SCIg product</w:t>
                            </w:r>
                          </w:p>
                          <w:p w:rsidR="008604C3" w:rsidRPr="00222B10" w:rsidRDefault="00F50AB5" w:rsidP="008604C3">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174FC">
                              <w:rPr>
                                <w:rFonts w:ascii="TitilliumText25L" w:eastAsiaTheme="minorHAnsi" w:hAnsi="TitilliumText25L" w:cs="TitilliumText25L"/>
                                <w:color w:val="000000"/>
                                <w:sz w:val="20"/>
                                <w:szCs w:val="20"/>
                                <w:lang w:val="en-US"/>
                              </w:rPr>
                              <w:t xml:space="preserve">There are different </w:t>
                            </w:r>
                            <w:r w:rsidR="00776B7A" w:rsidRPr="00222B10">
                              <w:rPr>
                                <w:rFonts w:ascii="TitilliumText25L" w:eastAsiaTheme="minorHAnsi" w:hAnsi="TitilliumText25L" w:cs="TitilliumText25L"/>
                                <w:color w:val="000000"/>
                                <w:sz w:val="20"/>
                                <w:szCs w:val="20"/>
                                <w:lang w:val="en-US"/>
                              </w:rPr>
                              <w:t>SCIg</w:t>
                            </w:r>
                            <w:r w:rsidR="008604C3" w:rsidRPr="00222B10">
                              <w:rPr>
                                <w:rFonts w:ascii="TitilliumText25L" w:eastAsiaTheme="minorHAnsi" w:hAnsi="TitilliumText25L" w:cs="TitilliumText25L"/>
                                <w:sz w:val="20"/>
                                <w:szCs w:val="20"/>
                                <w:lang w:val="en-US"/>
                              </w:rPr>
                              <w:t xml:space="preserve"> </w:t>
                            </w:r>
                            <w:r w:rsidRPr="00222B10">
                              <w:rPr>
                                <w:rFonts w:ascii="TitilliumText25L" w:eastAsiaTheme="minorHAnsi" w:hAnsi="TitilliumText25L" w:cs="TitilliumText25L"/>
                                <w:color w:val="000000"/>
                                <w:sz w:val="20"/>
                                <w:szCs w:val="20"/>
                                <w:lang w:val="en-US"/>
                              </w:rPr>
                              <w:t>products your clinician can select for your treatment</w:t>
                            </w:r>
                            <w:r w:rsidR="00014719" w:rsidRPr="00222B10">
                              <w:rPr>
                                <w:rFonts w:ascii="TitilliumText25L" w:eastAsiaTheme="minorHAnsi" w:hAnsi="TitilliumText25L" w:cs="TitilliumText25L"/>
                                <w:color w:val="000000"/>
                                <w:sz w:val="20"/>
                                <w:szCs w:val="20"/>
                                <w:lang w:val="en-US"/>
                              </w:rPr>
                              <w:t>.</w:t>
                            </w:r>
                            <w:r w:rsidRPr="00222B10">
                              <w:rPr>
                                <w:rFonts w:ascii="TitilliumText25L" w:eastAsiaTheme="minorHAnsi" w:hAnsi="TitilliumText25L" w:cs="TitilliumText25L"/>
                                <w:color w:val="000000"/>
                                <w:sz w:val="20"/>
                                <w:szCs w:val="20"/>
                                <w:lang w:val="en-US"/>
                              </w:rPr>
                              <w:t xml:space="preserve"> </w:t>
                            </w:r>
                          </w:p>
                          <w:p w:rsidR="008604C3" w:rsidRPr="00222B10" w:rsidRDefault="008604C3" w:rsidP="008604C3">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22B10">
                              <w:rPr>
                                <w:rFonts w:ascii="TitilliumText25L" w:eastAsiaTheme="minorHAnsi" w:hAnsi="TitilliumText25L" w:cs="TitilliumText25L"/>
                                <w:color w:val="000000"/>
                                <w:sz w:val="20"/>
                                <w:szCs w:val="20"/>
                                <w:lang w:val="en-US"/>
                              </w:rPr>
                              <w:t>Some SCIg products require refrigerated transport and storage between 2 °C and 8 °C.</w:t>
                            </w:r>
                          </w:p>
                          <w:p w:rsidR="00F50AB5" w:rsidRPr="00222B10" w:rsidRDefault="00F50AB5" w:rsidP="00F50AB5">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22B10">
                              <w:rPr>
                                <w:rFonts w:ascii="TitilliumText25L" w:eastAsiaTheme="minorHAnsi" w:hAnsi="TitilliumText25L" w:cs="TitilliumText25L"/>
                                <w:color w:val="000000"/>
                                <w:sz w:val="20"/>
                                <w:szCs w:val="20"/>
                                <w:lang w:val="en-US"/>
                              </w:rPr>
                              <w:t>All products should be at room temperature before infusion commences to improve comfort levels.</w:t>
                            </w:r>
                            <w:r w:rsidR="00776B7A" w:rsidRPr="00222B10">
                              <w:rPr>
                                <w:rFonts w:ascii="TitilliumText25L" w:eastAsiaTheme="minorHAnsi" w:hAnsi="TitilliumText25L" w:cs="TitilliumText25L"/>
                                <w:color w:val="000000"/>
                                <w:sz w:val="20"/>
                                <w:szCs w:val="20"/>
                                <w:lang w:val="en-US"/>
                              </w:rPr>
                              <w:t xml:space="preserve"> </w:t>
                            </w:r>
                            <w:r w:rsidR="008604C3" w:rsidRPr="00222B10">
                              <w:rPr>
                                <w:rFonts w:ascii="TitilliumText25L" w:eastAsiaTheme="minorHAnsi" w:hAnsi="TitilliumText25L" w:cs="TitilliumText25L"/>
                                <w:color w:val="000000"/>
                                <w:sz w:val="20"/>
                                <w:szCs w:val="20"/>
                                <w:lang w:val="en-US"/>
                              </w:rPr>
                              <w:t xml:space="preserve">If a SCIg </w:t>
                            </w:r>
                            <w:r w:rsidRPr="00222B10">
                              <w:rPr>
                                <w:rFonts w:ascii="TitilliumText25L" w:eastAsiaTheme="minorHAnsi" w:hAnsi="TitilliumText25L" w:cs="TitilliumText25L"/>
                                <w:color w:val="000000"/>
                                <w:sz w:val="20"/>
                                <w:szCs w:val="20"/>
                                <w:lang w:val="en-US"/>
                              </w:rPr>
                              <w:t xml:space="preserve">product </w:t>
                            </w:r>
                            <w:r w:rsidR="008604C3" w:rsidRPr="00222B10">
                              <w:rPr>
                                <w:rFonts w:ascii="TitilliumText25L" w:eastAsiaTheme="minorHAnsi" w:hAnsi="TitilliumText25L" w:cs="TitilliumText25L"/>
                                <w:color w:val="000000"/>
                                <w:sz w:val="20"/>
                                <w:szCs w:val="20"/>
                                <w:lang w:val="en-US"/>
                              </w:rPr>
                              <w:t xml:space="preserve">requires </w:t>
                            </w:r>
                            <w:r w:rsidR="00DF174C" w:rsidRPr="00222B10">
                              <w:rPr>
                                <w:rFonts w:ascii="TitilliumText25L" w:eastAsiaTheme="minorHAnsi" w:hAnsi="TitilliumText25L" w:cs="TitilliumText25L"/>
                                <w:color w:val="000000"/>
                                <w:sz w:val="20"/>
                                <w:szCs w:val="20"/>
                                <w:lang w:val="en-US"/>
                              </w:rPr>
                              <w:t>refrigeration</w:t>
                            </w:r>
                            <w:r w:rsidR="008604C3" w:rsidRPr="002174FC">
                              <w:rPr>
                                <w:rFonts w:ascii="TitilliumText25L" w:eastAsiaTheme="minorHAnsi" w:hAnsi="TitilliumText25L" w:cs="TitilliumText25L"/>
                                <w:color w:val="000000"/>
                                <w:sz w:val="20"/>
                                <w:szCs w:val="20"/>
                                <w:lang w:val="en-US"/>
                              </w:rPr>
                              <w:t xml:space="preserve"> and </w:t>
                            </w:r>
                            <w:r w:rsidRPr="00222B10">
                              <w:rPr>
                                <w:rFonts w:ascii="TitilliumText25L" w:eastAsiaTheme="minorHAnsi" w:hAnsi="TitilliumText25L" w:cs="TitilliumText25L"/>
                                <w:color w:val="000000"/>
                                <w:sz w:val="20"/>
                                <w:szCs w:val="20"/>
                                <w:lang w:val="en-US"/>
                              </w:rPr>
                              <w:t>has been brought to room temperature</w:t>
                            </w:r>
                            <w:r w:rsidR="008604C3" w:rsidRPr="00222B10">
                              <w:rPr>
                                <w:rFonts w:ascii="TitilliumText25L" w:eastAsiaTheme="minorHAnsi" w:hAnsi="TitilliumText25L" w:cs="TitilliumText25L"/>
                                <w:color w:val="000000"/>
                                <w:sz w:val="20"/>
                                <w:szCs w:val="20"/>
                                <w:lang w:val="en-US"/>
                              </w:rPr>
                              <w:t>,</w:t>
                            </w:r>
                            <w:r w:rsidRPr="00222B10">
                              <w:rPr>
                                <w:rFonts w:ascii="TitilliumText25L" w:eastAsiaTheme="minorHAnsi" w:hAnsi="TitilliumText25L" w:cs="TitilliumText25L"/>
                                <w:color w:val="000000"/>
                                <w:sz w:val="20"/>
                                <w:szCs w:val="20"/>
                                <w:lang w:val="en-US"/>
                              </w:rPr>
                              <w:t xml:space="preserve"> it may not be returned to the fridge. Note the date the product is removed from refrigeration on the packet.</w:t>
                            </w:r>
                          </w:p>
                          <w:p w:rsidR="00F50AB5" w:rsidRPr="00F50AB5" w:rsidRDefault="00F50AB5" w:rsidP="00F50AB5">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22B10">
                              <w:rPr>
                                <w:rFonts w:ascii="TitilliumText25L" w:eastAsiaTheme="minorHAnsi" w:hAnsi="TitilliumText25L" w:cs="TitilliumText25L"/>
                                <w:color w:val="000000"/>
                                <w:sz w:val="20"/>
                                <w:szCs w:val="20"/>
                                <w:lang w:val="en-US"/>
                              </w:rPr>
                              <w:t>All products should be administered once opened</w:t>
                            </w:r>
                            <w:r w:rsidR="008604C3" w:rsidRPr="00222B10">
                              <w:rPr>
                                <w:rFonts w:ascii="TitilliumText25L" w:eastAsiaTheme="minorHAnsi" w:hAnsi="TitilliumText25L" w:cs="TitilliumText25L"/>
                                <w:color w:val="000000"/>
                                <w:sz w:val="20"/>
                                <w:szCs w:val="20"/>
                                <w:lang w:val="en-US"/>
                              </w:rPr>
                              <w:t xml:space="preserve">. </w:t>
                            </w:r>
                            <w:r w:rsidR="008604C3" w:rsidRPr="00222B10">
                              <w:rPr>
                                <w:rFonts w:ascii="TitilliumText25L" w:eastAsiaTheme="minorHAnsi" w:hAnsi="TitilliumText25L" w:cs="TitilliumText25L"/>
                                <w:color w:val="000000"/>
                                <w:sz w:val="20"/>
                                <w:szCs w:val="20"/>
                                <w:lang w:val="en-US"/>
                              </w:rPr>
                              <w:br/>
                              <w:t>A</w:t>
                            </w:r>
                            <w:r w:rsidRPr="00222B10">
                              <w:rPr>
                                <w:rFonts w:ascii="TitilliumText25L" w:eastAsiaTheme="minorHAnsi" w:hAnsi="TitilliumText25L" w:cs="TitilliumText25L"/>
                                <w:color w:val="000000"/>
                                <w:sz w:val="20"/>
                                <w:szCs w:val="20"/>
                                <w:lang w:val="en-US"/>
                              </w:rPr>
                              <w:t xml:space="preserve">ny remaining product </w:t>
                            </w:r>
                            <w:r w:rsidR="008604C3" w:rsidRPr="00222B10">
                              <w:rPr>
                                <w:rFonts w:ascii="TitilliumText25L" w:eastAsiaTheme="minorHAnsi" w:hAnsi="TitilliumText25L" w:cs="TitilliumText25L"/>
                                <w:color w:val="000000"/>
                                <w:sz w:val="20"/>
                                <w:szCs w:val="20"/>
                                <w:lang w:val="en-US"/>
                              </w:rPr>
                              <w:t>not used, should be</w:t>
                            </w:r>
                            <w:r w:rsidRPr="00222B10">
                              <w:rPr>
                                <w:rFonts w:ascii="TitilliumText25L" w:eastAsiaTheme="minorHAnsi" w:hAnsi="TitilliumText25L" w:cs="TitilliumText25L"/>
                                <w:color w:val="000000"/>
                                <w:sz w:val="20"/>
                                <w:szCs w:val="20"/>
                                <w:lang w:val="en-US"/>
                              </w:rPr>
                              <w:t xml:space="preserve"> discarded and recorded as such.</w:t>
                            </w:r>
                            <w:r w:rsidRPr="00F50AB5">
                              <w:rPr>
                                <w:rFonts w:ascii="TitilliumText25L" w:eastAsiaTheme="minorHAnsi" w:hAnsi="TitilliumText25L" w:cs="TitilliumText25L"/>
                                <w:color w:val="000000"/>
                                <w:sz w:val="20"/>
                                <w:szCs w:val="20"/>
                                <w:lang w:val="en-US"/>
                              </w:rPr>
                              <w:t xml:space="preserve"> </w:t>
                            </w:r>
                          </w:p>
                          <w:p w:rsidR="001C56DC" w:rsidRDefault="00F50AB5" w:rsidP="00F50AB5">
                            <w:pPr>
                              <w:spacing w:before="120" w:after="0"/>
                              <w:ind w:right="-80"/>
                              <w:rPr>
                                <w:rFonts w:ascii="TitilliumText25L" w:eastAsia="TitilliumText25L" w:hAnsi="TitilliumText25L" w:cs="TitilliumText25L"/>
                                <w:sz w:val="20"/>
                                <w:szCs w:val="20"/>
                              </w:rPr>
                            </w:pPr>
                            <w:r w:rsidRPr="00F50AB5">
                              <w:rPr>
                                <w:rFonts w:ascii="TitilliumText25L" w:eastAsiaTheme="minorHAnsi" w:hAnsi="TitilliumText25L" w:cs="TitilliumText25L"/>
                                <w:color w:val="000000"/>
                                <w:sz w:val="20"/>
                                <w:szCs w:val="20"/>
                                <w:lang w:val="en-US"/>
                              </w:rPr>
                              <w:t>You should read the product information sheet provided with the medication, as well as taking advice from your clinician as the amount of time each product is out of refrigeration will have a different impact on the shelf life and expiry time.</w:t>
                            </w:r>
                          </w:p>
                          <w:p w:rsidR="00184BA5" w:rsidRDefault="00184BA5" w:rsidP="001C56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53.95pt;margin-top:-62.25pt;width:252pt;height:5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" stroked="f">
                <v:textbox>
                  <w:txbxContent>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Self-administered therapy with SCIg</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Depending on your condition and circumstances, you may be offered SCIg therapy for self-administration outside hospital.   You will be provided with a Patient Receipt and Use Diary to record your treatments.  This information will need to be provided regularly to your doctor or supporting nurse.  </w:t>
                      </w:r>
                    </w:p>
                    <w:p w:rsid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 xml:space="preserve">You must tell hospital staff if you have not used any SCIg that has been provided to you and the reason.  This could be because it was accidentally broken, expired, had visible particles or because of a reaction that you had and did not use the entire product.  </w:t>
                      </w:r>
                    </w:p>
                    <w:p w:rsidR="00F50AB5" w:rsidRPr="00F50AB5" w:rsidRDefault="00F50AB5" w:rsidP="00F50AB5">
                      <w:pPr>
                        <w:suppressAutoHyphens/>
                        <w:autoSpaceDE w:val="0"/>
                        <w:autoSpaceDN w:val="0"/>
                        <w:adjustRightInd w:val="0"/>
                        <w:spacing w:before="85" w:after="0"/>
                        <w:textAlignment w:val="center"/>
                        <w:rPr>
                          <w:rFonts w:ascii="TitilliumText25L" w:eastAsiaTheme="minorHAnsi" w:hAnsi="TitilliumText25L" w:cs="TitilliumText25L"/>
                          <w:color w:val="000000"/>
                          <w:sz w:val="8"/>
                          <w:szCs w:val="20"/>
                          <w:lang w:val="en-US"/>
                        </w:rPr>
                      </w:pPr>
                    </w:p>
                    <w:p w:rsidR="000D2C2C" w:rsidRDefault="00F50AB5" w:rsidP="001C56DC">
                      <w:pPr>
                        <w:spacing w:before="95" w:after="0"/>
                        <w:ind w:right="-80"/>
                        <w:jc w:val="center"/>
                        <w:rPr>
                          <w:rFonts w:ascii="TitilliumText25L" w:eastAsia="TitilliumText25L" w:hAnsi="TitilliumText25L" w:cs="TitilliumText25L"/>
                          <w:color w:val="FEA62B"/>
                          <w:sz w:val="24"/>
                          <w:szCs w:val="24"/>
                        </w:rPr>
                      </w:pPr>
                      <w:r>
                        <w:rPr>
                          <w:rFonts w:ascii="TitilliumText25L" w:eastAsia="TitilliumText25L" w:hAnsi="TitilliumText25L" w:cs="TitilliumText25L"/>
                          <w:noProof/>
                          <w:color w:val="FEA62B"/>
                          <w:sz w:val="24"/>
                          <w:szCs w:val="24"/>
                          <w:lang w:eastAsia="en-AU"/>
                        </w:rPr>
                        <w:drawing>
                          <wp:inline distT="0" distB="0" distL="0" distR="0">
                            <wp:extent cx="1566878" cy="104436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2_ig delivery_IMG_4537.jpg"/>
                                    <pic:cNvPicPr/>
                                  </pic:nvPicPr>
                                  <pic:blipFill>
                                    <a:blip r:embed="rId8">
                                      <a:extLst>
                                        <a:ext uri="{28A0092B-C50C-407E-A947-70E740481C1C}">
                                          <a14:useLocalDpi xmlns:a14="http://schemas.microsoft.com/office/drawing/2010/main" val="0"/>
                                        </a:ext>
                                      </a:extLst>
                                    </a:blip>
                                    <a:stretch>
                                      <a:fillRect/>
                                    </a:stretch>
                                  </pic:blipFill>
                                  <pic:spPr>
                                    <a:xfrm>
                                      <a:off x="0" y="0"/>
                                      <a:ext cx="1566605" cy="1044183"/>
                                    </a:xfrm>
                                    <a:prstGeom prst="rect">
                                      <a:avLst/>
                                    </a:prstGeom>
                                  </pic:spPr>
                                </pic:pic>
                              </a:graphicData>
                            </a:graphic>
                          </wp:inline>
                        </w:drawing>
                      </w:r>
                      <w:r>
                        <w:rPr>
                          <w:rFonts w:ascii="TitilliumText25L" w:eastAsia="TitilliumText25L" w:hAnsi="TitilliumText25L" w:cs="TitilliumText25L"/>
                          <w:noProof/>
                          <w:color w:val="FEA62B"/>
                          <w:sz w:val="24"/>
                          <w:szCs w:val="24"/>
                          <w:lang w:eastAsia="en-AU"/>
                        </w:rPr>
                        <w:t xml:space="preserve">  </w:t>
                      </w:r>
                      <w:r>
                        <w:rPr>
                          <w:rFonts w:ascii="TitilliumText25L" w:eastAsia="TitilliumText25L" w:hAnsi="TitilliumText25L" w:cs="TitilliumText25L"/>
                          <w:noProof/>
                          <w:color w:val="FEA62B"/>
                          <w:sz w:val="24"/>
                          <w:szCs w:val="24"/>
                          <w:lang w:eastAsia="en-AU"/>
                        </w:rPr>
                        <w:drawing>
                          <wp:inline distT="0" distB="0" distL="0" distR="0">
                            <wp:extent cx="1219200" cy="1037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2_ig esky_IMG_4556.jpg"/>
                                    <pic:cNvPicPr/>
                                  </pic:nvPicPr>
                                  <pic:blipFill>
                                    <a:blip r:embed="rId9">
                                      <a:extLst>
                                        <a:ext uri="{28A0092B-C50C-407E-A947-70E740481C1C}">
                                          <a14:useLocalDpi xmlns:a14="http://schemas.microsoft.com/office/drawing/2010/main" val="0"/>
                                        </a:ext>
                                      </a:extLst>
                                    </a:blip>
                                    <a:stretch>
                                      <a:fillRect/>
                                    </a:stretch>
                                  </pic:blipFill>
                                  <pic:spPr>
                                    <a:xfrm>
                                      <a:off x="0" y="0"/>
                                      <a:ext cx="1218686" cy="1036833"/>
                                    </a:xfrm>
                                    <a:prstGeom prst="rect">
                                      <a:avLst/>
                                    </a:prstGeom>
                                  </pic:spPr>
                                </pic:pic>
                              </a:graphicData>
                            </a:graphic>
                          </wp:inline>
                        </w:drawing>
                      </w:r>
                    </w:p>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
                          <w:szCs w:val="24"/>
                          <w:lang w:val="en-US"/>
                        </w:rPr>
                      </w:pPr>
                    </w:p>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Transport and storage of SCIg product</w:t>
                      </w:r>
                    </w:p>
                    <w:p w:rsidR="008604C3" w:rsidRPr="00222B10" w:rsidRDefault="00F50AB5" w:rsidP="008604C3">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174FC">
                        <w:rPr>
                          <w:rFonts w:ascii="TitilliumText25L" w:eastAsiaTheme="minorHAnsi" w:hAnsi="TitilliumText25L" w:cs="TitilliumText25L"/>
                          <w:color w:val="000000"/>
                          <w:sz w:val="20"/>
                          <w:szCs w:val="20"/>
                          <w:lang w:val="en-US"/>
                        </w:rPr>
                        <w:t xml:space="preserve">There are different </w:t>
                      </w:r>
                      <w:r w:rsidR="00776B7A" w:rsidRPr="00222B10">
                        <w:rPr>
                          <w:rFonts w:ascii="TitilliumText25L" w:eastAsiaTheme="minorHAnsi" w:hAnsi="TitilliumText25L" w:cs="TitilliumText25L"/>
                          <w:color w:val="000000"/>
                          <w:sz w:val="20"/>
                          <w:szCs w:val="20"/>
                          <w:lang w:val="en-US"/>
                        </w:rPr>
                        <w:t>SCIg</w:t>
                      </w:r>
                      <w:r w:rsidR="008604C3" w:rsidRPr="00222B10">
                        <w:rPr>
                          <w:rFonts w:ascii="TitilliumText25L" w:eastAsiaTheme="minorHAnsi" w:hAnsi="TitilliumText25L" w:cs="TitilliumText25L"/>
                          <w:sz w:val="20"/>
                          <w:szCs w:val="20"/>
                          <w:lang w:val="en-US"/>
                        </w:rPr>
                        <w:t xml:space="preserve"> </w:t>
                      </w:r>
                      <w:r w:rsidRPr="00222B10">
                        <w:rPr>
                          <w:rFonts w:ascii="TitilliumText25L" w:eastAsiaTheme="minorHAnsi" w:hAnsi="TitilliumText25L" w:cs="TitilliumText25L"/>
                          <w:color w:val="000000"/>
                          <w:sz w:val="20"/>
                          <w:szCs w:val="20"/>
                          <w:lang w:val="en-US"/>
                        </w:rPr>
                        <w:t>products your clinician can select for your treatment</w:t>
                      </w:r>
                      <w:r w:rsidR="00014719" w:rsidRPr="00222B10">
                        <w:rPr>
                          <w:rFonts w:ascii="TitilliumText25L" w:eastAsiaTheme="minorHAnsi" w:hAnsi="TitilliumText25L" w:cs="TitilliumText25L"/>
                          <w:color w:val="000000"/>
                          <w:sz w:val="20"/>
                          <w:szCs w:val="20"/>
                          <w:lang w:val="en-US"/>
                        </w:rPr>
                        <w:t>.</w:t>
                      </w:r>
                      <w:r w:rsidRPr="00222B10">
                        <w:rPr>
                          <w:rFonts w:ascii="TitilliumText25L" w:eastAsiaTheme="minorHAnsi" w:hAnsi="TitilliumText25L" w:cs="TitilliumText25L"/>
                          <w:color w:val="000000"/>
                          <w:sz w:val="20"/>
                          <w:szCs w:val="20"/>
                          <w:lang w:val="en-US"/>
                        </w:rPr>
                        <w:t xml:space="preserve"> </w:t>
                      </w:r>
                    </w:p>
                    <w:p w:rsidR="008604C3" w:rsidRPr="00222B10" w:rsidRDefault="008604C3" w:rsidP="008604C3">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22B10">
                        <w:rPr>
                          <w:rFonts w:ascii="TitilliumText25L" w:eastAsiaTheme="minorHAnsi" w:hAnsi="TitilliumText25L" w:cs="TitilliumText25L"/>
                          <w:color w:val="000000"/>
                          <w:sz w:val="20"/>
                          <w:szCs w:val="20"/>
                          <w:lang w:val="en-US"/>
                        </w:rPr>
                        <w:t>Some SCIg products require refrigerated transport and storage between 2 °C and 8 °C.</w:t>
                      </w:r>
                    </w:p>
                    <w:p w:rsidR="00F50AB5" w:rsidRPr="00222B10" w:rsidRDefault="00F50AB5" w:rsidP="00F50AB5">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22B10">
                        <w:rPr>
                          <w:rFonts w:ascii="TitilliumText25L" w:eastAsiaTheme="minorHAnsi" w:hAnsi="TitilliumText25L" w:cs="TitilliumText25L"/>
                          <w:color w:val="000000"/>
                          <w:sz w:val="20"/>
                          <w:szCs w:val="20"/>
                          <w:lang w:val="en-US"/>
                        </w:rPr>
                        <w:t>All products should be at room temperature before infusion commences to improve comfort levels.</w:t>
                      </w:r>
                      <w:r w:rsidR="00776B7A" w:rsidRPr="00222B10">
                        <w:rPr>
                          <w:rFonts w:ascii="TitilliumText25L" w:eastAsiaTheme="minorHAnsi" w:hAnsi="TitilliumText25L" w:cs="TitilliumText25L"/>
                          <w:color w:val="000000"/>
                          <w:sz w:val="20"/>
                          <w:szCs w:val="20"/>
                          <w:lang w:val="en-US"/>
                        </w:rPr>
                        <w:t xml:space="preserve"> </w:t>
                      </w:r>
                      <w:r w:rsidR="008604C3" w:rsidRPr="00222B10">
                        <w:rPr>
                          <w:rFonts w:ascii="TitilliumText25L" w:eastAsiaTheme="minorHAnsi" w:hAnsi="TitilliumText25L" w:cs="TitilliumText25L"/>
                          <w:color w:val="000000"/>
                          <w:sz w:val="20"/>
                          <w:szCs w:val="20"/>
                          <w:lang w:val="en-US"/>
                        </w:rPr>
                        <w:t xml:space="preserve">If a SCIg </w:t>
                      </w:r>
                      <w:r w:rsidRPr="00222B10">
                        <w:rPr>
                          <w:rFonts w:ascii="TitilliumText25L" w:eastAsiaTheme="minorHAnsi" w:hAnsi="TitilliumText25L" w:cs="TitilliumText25L"/>
                          <w:color w:val="000000"/>
                          <w:sz w:val="20"/>
                          <w:szCs w:val="20"/>
                          <w:lang w:val="en-US"/>
                        </w:rPr>
                        <w:t xml:space="preserve">product </w:t>
                      </w:r>
                      <w:r w:rsidR="008604C3" w:rsidRPr="00222B10">
                        <w:rPr>
                          <w:rFonts w:ascii="TitilliumText25L" w:eastAsiaTheme="minorHAnsi" w:hAnsi="TitilliumText25L" w:cs="TitilliumText25L"/>
                          <w:color w:val="000000"/>
                          <w:sz w:val="20"/>
                          <w:szCs w:val="20"/>
                          <w:lang w:val="en-US"/>
                        </w:rPr>
                        <w:t xml:space="preserve">requires </w:t>
                      </w:r>
                      <w:r w:rsidR="00DF174C" w:rsidRPr="00222B10">
                        <w:rPr>
                          <w:rFonts w:ascii="TitilliumText25L" w:eastAsiaTheme="minorHAnsi" w:hAnsi="TitilliumText25L" w:cs="TitilliumText25L"/>
                          <w:color w:val="000000"/>
                          <w:sz w:val="20"/>
                          <w:szCs w:val="20"/>
                          <w:lang w:val="en-US"/>
                        </w:rPr>
                        <w:t>refrigeration</w:t>
                      </w:r>
                      <w:r w:rsidR="008604C3" w:rsidRPr="002174FC">
                        <w:rPr>
                          <w:rFonts w:ascii="TitilliumText25L" w:eastAsiaTheme="minorHAnsi" w:hAnsi="TitilliumText25L" w:cs="TitilliumText25L"/>
                          <w:color w:val="000000"/>
                          <w:sz w:val="20"/>
                          <w:szCs w:val="20"/>
                          <w:lang w:val="en-US"/>
                        </w:rPr>
                        <w:t xml:space="preserve"> and </w:t>
                      </w:r>
                      <w:r w:rsidRPr="00222B10">
                        <w:rPr>
                          <w:rFonts w:ascii="TitilliumText25L" w:eastAsiaTheme="minorHAnsi" w:hAnsi="TitilliumText25L" w:cs="TitilliumText25L"/>
                          <w:color w:val="000000"/>
                          <w:sz w:val="20"/>
                          <w:szCs w:val="20"/>
                          <w:lang w:val="en-US"/>
                        </w:rPr>
                        <w:t>has been brought to room temperature</w:t>
                      </w:r>
                      <w:r w:rsidR="008604C3" w:rsidRPr="00222B10">
                        <w:rPr>
                          <w:rFonts w:ascii="TitilliumText25L" w:eastAsiaTheme="minorHAnsi" w:hAnsi="TitilliumText25L" w:cs="TitilliumText25L"/>
                          <w:color w:val="000000"/>
                          <w:sz w:val="20"/>
                          <w:szCs w:val="20"/>
                          <w:lang w:val="en-US"/>
                        </w:rPr>
                        <w:t>,</w:t>
                      </w:r>
                      <w:r w:rsidRPr="00222B10">
                        <w:rPr>
                          <w:rFonts w:ascii="TitilliumText25L" w:eastAsiaTheme="minorHAnsi" w:hAnsi="TitilliumText25L" w:cs="TitilliumText25L"/>
                          <w:color w:val="000000"/>
                          <w:sz w:val="20"/>
                          <w:szCs w:val="20"/>
                          <w:lang w:val="en-US"/>
                        </w:rPr>
                        <w:t xml:space="preserve"> it may not be returned to the fridge. Note the date the product is removed from refrigeration on the packet.</w:t>
                      </w:r>
                    </w:p>
                    <w:p w:rsidR="00F50AB5" w:rsidRPr="00F50AB5" w:rsidRDefault="00F50AB5" w:rsidP="00F50AB5">
                      <w:pPr>
                        <w:suppressAutoHyphens/>
                        <w:autoSpaceDE w:val="0"/>
                        <w:autoSpaceDN w:val="0"/>
                        <w:adjustRightInd w:val="0"/>
                        <w:spacing w:before="120" w:after="0"/>
                        <w:textAlignment w:val="center"/>
                        <w:rPr>
                          <w:rFonts w:ascii="TitilliumText25L" w:eastAsiaTheme="minorHAnsi" w:hAnsi="TitilliumText25L" w:cs="TitilliumText25L"/>
                          <w:color w:val="000000"/>
                          <w:sz w:val="20"/>
                          <w:szCs w:val="20"/>
                          <w:lang w:val="en-US"/>
                        </w:rPr>
                      </w:pPr>
                      <w:r w:rsidRPr="00222B10">
                        <w:rPr>
                          <w:rFonts w:ascii="TitilliumText25L" w:eastAsiaTheme="minorHAnsi" w:hAnsi="TitilliumText25L" w:cs="TitilliumText25L"/>
                          <w:color w:val="000000"/>
                          <w:sz w:val="20"/>
                          <w:szCs w:val="20"/>
                          <w:lang w:val="en-US"/>
                        </w:rPr>
                        <w:t>All products should be administered once opened</w:t>
                      </w:r>
                      <w:r w:rsidR="008604C3" w:rsidRPr="00222B10">
                        <w:rPr>
                          <w:rFonts w:ascii="TitilliumText25L" w:eastAsiaTheme="minorHAnsi" w:hAnsi="TitilliumText25L" w:cs="TitilliumText25L"/>
                          <w:color w:val="000000"/>
                          <w:sz w:val="20"/>
                          <w:szCs w:val="20"/>
                          <w:lang w:val="en-US"/>
                        </w:rPr>
                        <w:t xml:space="preserve">. </w:t>
                      </w:r>
                      <w:r w:rsidR="008604C3" w:rsidRPr="00222B10">
                        <w:rPr>
                          <w:rFonts w:ascii="TitilliumText25L" w:eastAsiaTheme="minorHAnsi" w:hAnsi="TitilliumText25L" w:cs="TitilliumText25L"/>
                          <w:color w:val="000000"/>
                          <w:sz w:val="20"/>
                          <w:szCs w:val="20"/>
                          <w:lang w:val="en-US"/>
                        </w:rPr>
                        <w:br/>
                        <w:t>A</w:t>
                      </w:r>
                      <w:r w:rsidRPr="00222B10">
                        <w:rPr>
                          <w:rFonts w:ascii="TitilliumText25L" w:eastAsiaTheme="minorHAnsi" w:hAnsi="TitilliumText25L" w:cs="TitilliumText25L"/>
                          <w:color w:val="000000"/>
                          <w:sz w:val="20"/>
                          <w:szCs w:val="20"/>
                          <w:lang w:val="en-US"/>
                        </w:rPr>
                        <w:t xml:space="preserve">ny remaining product </w:t>
                      </w:r>
                      <w:r w:rsidR="008604C3" w:rsidRPr="00222B10">
                        <w:rPr>
                          <w:rFonts w:ascii="TitilliumText25L" w:eastAsiaTheme="minorHAnsi" w:hAnsi="TitilliumText25L" w:cs="TitilliumText25L"/>
                          <w:color w:val="000000"/>
                          <w:sz w:val="20"/>
                          <w:szCs w:val="20"/>
                          <w:lang w:val="en-US"/>
                        </w:rPr>
                        <w:t>not used, should be</w:t>
                      </w:r>
                      <w:r w:rsidRPr="00222B10">
                        <w:rPr>
                          <w:rFonts w:ascii="TitilliumText25L" w:eastAsiaTheme="minorHAnsi" w:hAnsi="TitilliumText25L" w:cs="TitilliumText25L"/>
                          <w:color w:val="000000"/>
                          <w:sz w:val="20"/>
                          <w:szCs w:val="20"/>
                          <w:lang w:val="en-US"/>
                        </w:rPr>
                        <w:t xml:space="preserve"> discarded and recorded as such.</w:t>
                      </w:r>
                      <w:r w:rsidRPr="00F50AB5">
                        <w:rPr>
                          <w:rFonts w:ascii="TitilliumText25L" w:eastAsiaTheme="minorHAnsi" w:hAnsi="TitilliumText25L" w:cs="TitilliumText25L"/>
                          <w:color w:val="000000"/>
                          <w:sz w:val="20"/>
                          <w:szCs w:val="20"/>
                          <w:lang w:val="en-US"/>
                        </w:rPr>
                        <w:t xml:space="preserve"> </w:t>
                      </w:r>
                    </w:p>
                    <w:p w:rsidR="001C56DC" w:rsidRDefault="00F50AB5" w:rsidP="00F50AB5">
                      <w:pPr>
                        <w:spacing w:before="120" w:after="0"/>
                        <w:ind w:right="-80"/>
                        <w:rPr>
                          <w:rFonts w:ascii="TitilliumText25L" w:eastAsia="TitilliumText25L" w:hAnsi="TitilliumText25L" w:cs="TitilliumText25L"/>
                          <w:sz w:val="20"/>
                          <w:szCs w:val="20"/>
                        </w:rPr>
                      </w:pPr>
                      <w:r w:rsidRPr="00F50AB5">
                        <w:rPr>
                          <w:rFonts w:ascii="TitilliumText25L" w:eastAsiaTheme="minorHAnsi" w:hAnsi="TitilliumText25L" w:cs="TitilliumText25L"/>
                          <w:color w:val="000000"/>
                          <w:sz w:val="20"/>
                          <w:szCs w:val="20"/>
                          <w:lang w:val="en-US"/>
                        </w:rPr>
                        <w:t>You should read the product information sheet provided with the medication, as well as taking advice from your clinician as the amount of time each product is out of refrigeration will have a different impact on the shelf life and expiry time.</w:t>
                      </w:r>
                    </w:p>
                    <w:p w:rsidR="00184BA5" w:rsidRDefault="00184BA5" w:rsidP="001C56DC"/>
                  </w:txbxContent>
                </v:textbox>
              </v:shape>
            </w:pict>
          </mc:Fallback>
        </mc:AlternateContent>
      </w:r>
      <w:r>
        <w:rPr>
          <w:i/>
        </w:rPr>
        <w:br w:type="page"/>
      </w:r>
    </w:p>
    <w:p w:rsidR="00B3726E" w:rsidRPr="00184BA5" w:rsidRDefault="00666A0B" w:rsidP="003D27F1">
      <w:pPr>
        <w:pStyle w:val="Heading1"/>
        <w:rPr>
          <w:i/>
        </w:rPr>
      </w:pPr>
      <w:bookmarkStart w:id="0" w:name="_GoBack"/>
      <w:bookmarkEnd w:id="0"/>
      <w:r w:rsidRPr="00B76111">
        <w:rPr>
          <w:i/>
          <w:noProof/>
          <w:lang w:eastAsia="en-AU"/>
        </w:rPr>
        <w:lastRenderedPageBreak/>
        <mc:AlternateContent>
          <mc:Choice Requires="wps">
            <w:drawing>
              <wp:anchor distT="0" distB="0" distL="114300" distR="114300" simplePos="0" relativeHeight="251666432" behindDoc="0" locked="0" layoutInCell="1" allowOverlap="1" wp14:anchorId="428A01AB" wp14:editId="436EC281">
                <wp:simplePos x="0" y="0"/>
                <wp:positionH relativeFrom="column">
                  <wp:posOffset>3501390</wp:posOffset>
                </wp:positionH>
                <wp:positionV relativeFrom="paragraph">
                  <wp:posOffset>1914525</wp:posOffset>
                </wp:positionV>
                <wp:extent cx="3314700" cy="4762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62500"/>
                        </a:xfrm>
                        <a:prstGeom prst="rect">
                          <a:avLst/>
                        </a:prstGeom>
                        <a:solidFill>
                          <a:srgbClr val="FFFFFF"/>
                        </a:solidFill>
                        <a:ln w="9525">
                          <a:noFill/>
                          <a:miter lim="800000"/>
                          <a:headEnd/>
                          <a:tailEnd/>
                        </a:ln>
                      </wps:spPr>
                      <wps:txbx>
                        <w:txbxContent>
                          <w:p w:rsidR="00364001" w:rsidRDefault="00364001" w:rsidP="00364001">
                            <w:pPr>
                              <w:spacing w:before="64" w:after="0"/>
                              <w:ind w:left="1672" w:right="1438"/>
                              <w:jc w:val="center"/>
                              <w:rPr>
                                <w:rFonts w:ascii="TitilliumText25L" w:eastAsia="TitilliumText25L" w:hAnsi="TitilliumText25L" w:cs="TitilliumText25L"/>
                                <w:sz w:val="24"/>
                                <w:szCs w:val="24"/>
                              </w:rPr>
                            </w:pPr>
                            <w:r>
                              <w:rPr>
                                <w:rFonts w:ascii="TitilliumText25L" w:eastAsia="TitilliumText25L" w:hAnsi="TitilliumText25L" w:cs="TitilliumText25L"/>
                                <w:color w:val="FEA62B"/>
                                <w:sz w:val="24"/>
                                <w:szCs w:val="24"/>
                              </w:rPr>
                              <w:t>Contact details</w:t>
                            </w:r>
                          </w:p>
                          <w:p w:rsidR="00364001" w:rsidRDefault="00364001" w:rsidP="00364001">
                            <w:pPr>
                              <w:spacing w:before="91" w:after="0" w:line="241" w:lineRule="auto"/>
                              <w:ind w:right="23"/>
                              <w:rPr>
                                <w:rFonts w:ascii="TitilliumText25L" w:eastAsia="TitilliumText25L" w:hAnsi="TitilliumText25L" w:cs="TitilliumText25L"/>
                                <w:sz w:val="20"/>
                                <w:szCs w:val="20"/>
                              </w:rPr>
                            </w:pPr>
                            <w:r>
                              <w:rPr>
                                <w:rFonts w:ascii="TitilliumText25L" w:eastAsia="TitilliumText25L" w:hAnsi="TitilliumText25L" w:cs="TitilliumText25L"/>
                                <w:sz w:val="20"/>
                                <w:szCs w:val="20"/>
                              </w:rPr>
                              <w:t xml:space="preserve">Hospital: </w:t>
                            </w:r>
                            <w:r>
                              <w:rPr>
                                <w:rFonts w:ascii="TitilliumText25L" w:eastAsia="TitilliumText25L" w:hAnsi="TitilliumText25L" w:cs="TitilliumText25L"/>
                                <w:spacing w:val="-13"/>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6"/>
                                <w:sz w:val="20"/>
                                <w:szCs w:val="20"/>
                                <w:u w:val="single" w:color="000000"/>
                              </w:rPr>
                              <w:t xml:space="preserve"> </w:t>
                            </w:r>
                            <w:r>
                              <w:rPr>
                                <w:rFonts w:ascii="TitilliumText25L" w:eastAsia="TitilliumText25L" w:hAnsi="TitilliumText25L" w:cs="TitilliumText25L"/>
                                <w:spacing w:val="-6"/>
                                <w:sz w:val="20"/>
                                <w:szCs w:val="20"/>
                              </w:rPr>
                              <w:t xml:space="preserve"> </w:t>
                            </w:r>
                            <w:r>
                              <w:rPr>
                                <w:rFonts w:ascii="TitilliumText25L" w:eastAsia="TitilliumText25L" w:hAnsi="TitilliumText25L" w:cs="TitilliumText25L"/>
                                <w:sz w:val="20"/>
                                <w:szCs w:val="20"/>
                              </w:rPr>
                              <w:t>Phone:</w:t>
                            </w:r>
                            <w:r>
                              <w:rPr>
                                <w:rFonts w:ascii="TitilliumText25L" w:eastAsia="TitilliumText25L" w:hAnsi="TitilliumText25L" w:cs="TitilliumText25L"/>
                                <w:spacing w:val="-11"/>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4"/>
                                <w:sz w:val="20"/>
                                <w:szCs w:val="20"/>
                                <w:u w:val="single" w:color="000000"/>
                              </w:rPr>
                              <w:t xml:space="preserve"> </w:t>
                            </w:r>
                            <w:r>
                              <w:rPr>
                                <w:rFonts w:ascii="TitilliumText25L" w:eastAsia="TitilliumText25L" w:hAnsi="TitilliumText25L" w:cs="TitilliumText25L"/>
                                <w:spacing w:val="14"/>
                                <w:sz w:val="20"/>
                                <w:szCs w:val="20"/>
                              </w:rPr>
                              <w:t xml:space="preserve"> </w:t>
                            </w:r>
                            <w:r>
                              <w:rPr>
                                <w:rFonts w:ascii="TitilliumText25L" w:eastAsia="TitilliumText25L" w:hAnsi="TitilliumText25L" w:cs="TitilliumText25L"/>
                                <w:sz w:val="20"/>
                                <w:szCs w:val="20"/>
                              </w:rPr>
                              <w:t xml:space="preserve">Doctor:  </w:t>
                            </w:r>
                            <w:r>
                              <w:rPr>
                                <w:rFonts w:ascii="TitilliumText25L" w:eastAsia="TitilliumText25L" w:hAnsi="TitilliumText25L" w:cs="TitilliumText25L"/>
                                <w:spacing w:val="-17"/>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4"/>
                                <w:sz w:val="20"/>
                                <w:szCs w:val="20"/>
                                <w:u w:val="single" w:color="000000"/>
                              </w:rPr>
                              <w:t xml:space="preserve"> </w:t>
                            </w:r>
                            <w:r>
                              <w:rPr>
                                <w:rFonts w:ascii="TitilliumText25L" w:eastAsia="TitilliumText25L" w:hAnsi="TitilliumText25L" w:cs="TitilliumText25L"/>
                                <w:spacing w:val="4"/>
                                <w:sz w:val="20"/>
                                <w:szCs w:val="20"/>
                              </w:rPr>
                              <w:t xml:space="preserve"> </w:t>
                            </w:r>
                            <w:r>
                              <w:rPr>
                                <w:rFonts w:ascii="TitilliumText25L" w:eastAsia="TitilliumText25L" w:hAnsi="TitilliumText25L" w:cs="TitilliumText25L"/>
                                <w:sz w:val="20"/>
                                <w:szCs w:val="20"/>
                              </w:rPr>
                              <w:t>Phone:</w:t>
                            </w:r>
                            <w:r>
                              <w:rPr>
                                <w:rFonts w:ascii="TitilliumText25L" w:eastAsia="TitilliumText25L" w:hAnsi="TitilliumText25L" w:cs="TitilliumText25L"/>
                                <w:spacing w:val="-11"/>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4"/>
                                <w:sz w:val="20"/>
                                <w:szCs w:val="20"/>
                                <w:u w:val="single" w:color="000000"/>
                              </w:rPr>
                              <w:t xml:space="preserve"> </w:t>
                            </w:r>
                            <w:r>
                              <w:rPr>
                                <w:rFonts w:ascii="TitilliumText25L" w:eastAsia="TitilliumText25L" w:hAnsi="TitilliumText25L" w:cs="TitilliumText25L"/>
                                <w:spacing w:val="14"/>
                                <w:sz w:val="20"/>
                                <w:szCs w:val="20"/>
                              </w:rPr>
                              <w:t xml:space="preserve"> </w:t>
                            </w:r>
                            <w:r>
                              <w:rPr>
                                <w:rFonts w:ascii="TitilliumText25L" w:eastAsia="TitilliumText25L" w:hAnsi="TitilliumText25L" w:cs="TitilliumText25L"/>
                                <w:sz w:val="20"/>
                                <w:szCs w:val="20"/>
                              </w:rPr>
                              <w:t>Treatment centre:</w:t>
                            </w:r>
                            <w:r>
                              <w:rPr>
                                <w:rFonts w:ascii="TitilliumText25L" w:eastAsia="TitilliumText25L" w:hAnsi="TitilliumText25L" w:cs="TitilliumText25L"/>
                                <w:spacing w:val="-26"/>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8"/>
                                <w:sz w:val="20"/>
                                <w:szCs w:val="20"/>
                                <w:u w:val="single" w:color="000000"/>
                              </w:rPr>
                              <w:t xml:space="preserve"> </w:t>
                            </w:r>
                            <w:r>
                              <w:rPr>
                                <w:rFonts w:ascii="TitilliumText25L" w:eastAsia="TitilliumText25L" w:hAnsi="TitilliumText25L" w:cs="TitilliumText25L"/>
                                <w:spacing w:val="18"/>
                                <w:sz w:val="20"/>
                                <w:szCs w:val="20"/>
                              </w:rPr>
                              <w:t xml:space="preserve"> </w:t>
                            </w:r>
                            <w:r>
                              <w:rPr>
                                <w:rFonts w:ascii="TitilliumText25L" w:eastAsia="TitilliumText25L" w:hAnsi="TitilliumText25L" w:cs="TitilliumText25L"/>
                                <w:sz w:val="20"/>
                                <w:szCs w:val="20"/>
                              </w:rPr>
                              <w:t>Phone:</w:t>
                            </w:r>
                            <w:r>
                              <w:rPr>
                                <w:rFonts w:ascii="TitilliumText25L" w:eastAsia="TitilliumText25L" w:hAnsi="TitilliumText25L" w:cs="TitilliumText25L"/>
                                <w:spacing w:val="-11"/>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4"/>
                                <w:sz w:val="20"/>
                                <w:szCs w:val="20"/>
                                <w:u w:val="single" w:color="000000"/>
                              </w:rPr>
                              <w:t xml:space="preserve"> </w:t>
                            </w:r>
                          </w:p>
                          <w:p w:rsidR="00B34222" w:rsidRDefault="00B34222" w:rsidP="00B34222">
                            <w:pPr>
                              <w:spacing w:after="0"/>
                              <w:ind w:left="1537" w:right="1303"/>
                              <w:jc w:val="center"/>
                              <w:rPr>
                                <w:rFonts w:ascii="TitilliumText25L" w:eastAsia="TitilliumText25L" w:hAnsi="TitilliumText25L" w:cs="TitilliumText25L"/>
                                <w:sz w:val="24"/>
                                <w:szCs w:val="24"/>
                              </w:rPr>
                            </w:pPr>
                            <w:r>
                              <w:rPr>
                                <w:rFonts w:ascii="TitilliumText25L" w:eastAsia="TitilliumText25L" w:hAnsi="TitilliumText25L" w:cs="TitilliumText25L"/>
                                <w:color w:val="FEA62B"/>
                                <w:sz w:val="24"/>
                                <w:szCs w:val="24"/>
                              </w:rPr>
                              <w:t>More information</w:t>
                            </w:r>
                          </w:p>
                          <w:p w:rsidR="00B34222" w:rsidRDefault="00B34222" w:rsidP="00B34222">
                            <w:pPr>
                              <w:spacing w:before="91" w:after="0" w:line="241" w:lineRule="auto"/>
                              <w:ind w:right="552"/>
                              <w:rPr>
                                <w:rFonts w:ascii="TitilliumText25L" w:eastAsia="TitilliumText25L" w:hAnsi="TitilliumText25L" w:cs="TitilliumText25L"/>
                                <w:sz w:val="20"/>
                                <w:szCs w:val="20"/>
                              </w:rPr>
                            </w:pPr>
                            <w:r>
                              <w:rPr>
                                <w:rFonts w:ascii="TitilliumText25L" w:eastAsia="TitilliumText25L" w:hAnsi="TitilliumText25L" w:cs="TitilliumText25L"/>
                                <w:sz w:val="20"/>
                                <w:szCs w:val="20"/>
                              </w:rPr>
                              <w:t>Additional information can be obtained from the following sites:</w:t>
                            </w:r>
                          </w:p>
                          <w:p w:rsidR="00B34222" w:rsidRPr="00D53CE3" w:rsidRDefault="009843DE" w:rsidP="00B34222">
                            <w:pPr>
                              <w:pStyle w:val="ListParagraph"/>
                              <w:widowControl w:val="0"/>
                              <w:numPr>
                                <w:ilvl w:val="0"/>
                                <w:numId w:val="10"/>
                              </w:numPr>
                              <w:tabs>
                                <w:tab w:val="left" w:pos="360"/>
                              </w:tabs>
                              <w:spacing w:after="0"/>
                              <w:ind w:right="-20"/>
                              <w:rPr>
                                <w:rFonts w:ascii="TitilliumText25L" w:eastAsia="TitilliumText25L" w:hAnsi="TitilliumText25L" w:cs="TitilliumText25L"/>
                                <w:sz w:val="20"/>
                                <w:szCs w:val="20"/>
                              </w:rPr>
                            </w:pPr>
                            <w:r w:rsidRPr="009843DE">
                              <w:rPr>
                                <w:rFonts w:ascii="TitilliumText25L" w:eastAsia="TitilliumText25L" w:hAnsi="TitilliumText25L" w:cs="TitilliumText25L"/>
                                <w:sz w:val="20"/>
                                <w:szCs w:val="20"/>
                              </w:rPr>
                              <w:t xml:space="preserve">National Blood Authority </w:t>
                            </w:r>
                            <w:hyperlink r:id="rId10" w:history="1">
                              <w:r w:rsidRPr="009843DE">
                                <w:rPr>
                                  <w:rStyle w:val="Hyperlink"/>
                                  <w:rFonts w:ascii="TitilliumText25L" w:eastAsia="TitilliumText25L" w:hAnsi="TitilliumText25L" w:cs="TitilliumText25L"/>
                                  <w:sz w:val="20"/>
                                  <w:szCs w:val="20"/>
                                </w:rPr>
                                <w:t>www.blood.gov.au</w:t>
                              </w:r>
                            </w:hyperlink>
                            <w:r>
                              <w:rPr>
                                <w:rFonts w:ascii="TitilliumText25L" w:eastAsia="TitilliumText25L" w:hAnsi="TitilliumText25L" w:cs="TitilliumText25L"/>
                                <w:sz w:val="20"/>
                                <w:szCs w:val="20"/>
                              </w:rPr>
                              <w:t xml:space="preserve">  </w:t>
                            </w:r>
                          </w:p>
                          <w:p w:rsidR="00B34222" w:rsidRPr="00D53CE3" w:rsidRDefault="00B34222" w:rsidP="00B34222">
                            <w:pPr>
                              <w:pStyle w:val="ListParagraph"/>
                              <w:widowControl w:val="0"/>
                              <w:numPr>
                                <w:ilvl w:val="0"/>
                                <w:numId w:val="10"/>
                              </w:numPr>
                              <w:tabs>
                                <w:tab w:val="left" w:pos="360"/>
                              </w:tabs>
                              <w:spacing w:before="1" w:after="0" w:line="241" w:lineRule="auto"/>
                              <w:ind w:right="1353"/>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Au</w:t>
                            </w:r>
                            <w:r>
                              <w:rPr>
                                <w:rFonts w:ascii="TitilliumText25L" w:eastAsia="TitilliumText25L" w:hAnsi="TitilliumText25L" w:cs="TitilliumText25L"/>
                                <w:sz w:val="20"/>
                                <w:szCs w:val="20"/>
                              </w:rPr>
                              <w:t>stralian Red Cross Blood Service</w:t>
                            </w:r>
                            <w:hyperlink w:history="1">
                              <w:r w:rsidRPr="00103419">
                                <w:rPr>
                                  <w:rStyle w:val="Hyperlink"/>
                                  <w:rFonts w:ascii="TitilliumText25L" w:eastAsia="TitilliumText25L" w:hAnsi="TitilliumText25L" w:cs="TitilliumText25L"/>
                                  <w:sz w:val="20"/>
                                  <w:szCs w:val="20"/>
                                </w:rPr>
                                <w:t xml:space="preserve"> www.mytransfusion.com.au</w:t>
                              </w:r>
                            </w:hyperlink>
                          </w:p>
                          <w:p w:rsidR="00666A0B" w:rsidRPr="00666A0B" w:rsidRDefault="00B34222" w:rsidP="00666A0B">
                            <w:pPr>
                              <w:pStyle w:val="ListParagraph"/>
                              <w:widowControl w:val="0"/>
                              <w:numPr>
                                <w:ilvl w:val="0"/>
                                <w:numId w:val="10"/>
                              </w:numPr>
                              <w:tabs>
                                <w:tab w:val="left" w:pos="360"/>
                              </w:tabs>
                              <w:spacing w:after="0" w:line="241" w:lineRule="auto"/>
                              <w:ind w:right="391"/>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 xml:space="preserve">National Health and Medical Research Council </w:t>
                            </w:r>
                            <w:hyperlink r:id="rId11" w:history="1">
                              <w:r w:rsidRPr="00493B17">
                                <w:rPr>
                                  <w:rStyle w:val="Hyperlink"/>
                                  <w:rFonts w:ascii="TitilliumText25L" w:eastAsia="TitilliumText25L" w:hAnsi="TitilliumText25L" w:cs="TitilliumText25L"/>
                                  <w:sz w:val="20"/>
                                  <w:szCs w:val="20"/>
                                </w:rPr>
                                <w:t>www.nhmrc.gov.au</w:t>
                              </w:r>
                            </w:hyperlink>
                            <w:r w:rsidR="009843DE">
                              <w:rPr>
                                <w:rFonts w:ascii="TitilliumText25L" w:eastAsia="TitilliumText25L" w:hAnsi="TitilliumText25L" w:cs="TitilliumText25L"/>
                                <w:sz w:val="20"/>
                                <w:szCs w:val="20"/>
                              </w:rPr>
                              <w:t xml:space="preserve"> </w:t>
                            </w:r>
                          </w:p>
                          <w:p w:rsidR="004C128A" w:rsidRPr="00666A0B" w:rsidRDefault="00666A0B" w:rsidP="00666A0B">
                            <w:pPr>
                              <w:pStyle w:val="ListParagraph"/>
                              <w:widowControl w:val="0"/>
                              <w:numPr>
                                <w:ilvl w:val="0"/>
                                <w:numId w:val="17"/>
                              </w:numPr>
                              <w:tabs>
                                <w:tab w:val="left" w:pos="360"/>
                              </w:tabs>
                              <w:spacing w:after="0"/>
                              <w:ind w:right="391"/>
                              <w:rPr>
                                <w:rFonts w:ascii="TitilliumText25L" w:eastAsia="TitilliumText25L" w:hAnsi="TitilliumText25L" w:cs="TitilliumText25L"/>
                                <w:sz w:val="20"/>
                                <w:szCs w:val="20"/>
                              </w:rPr>
                            </w:pPr>
                            <w:r w:rsidRPr="00666A0B">
                              <w:rPr>
                                <w:rFonts w:ascii="TitilliumText25L" w:eastAsia="TitilliumText25L" w:hAnsi="TitilliumText25L" w:cs="TitilliumText25L"/>
                                <w:sz w:val="20"/>
                                <w:szCs w:val="20"/>
                              </w:rPr>
                              <w:t>This brochure was developed with input from relevant consumer groups.</w:t>
                            </w:r>
                          </w:p>
                          <w:p w:rsidR="00B34222" w:rsidRDefault="00696BB9" w:rsidP="00666A0B">
                            <w:pPr>
                              <w:tabs>
                                <w:tab w:val="left" w:pos="3500"/>
                              </w:tabs>
                              <w:spacing w:after="0"/>
                              <w:ind w:right="-23"/>
                              <w:rPr>
                                <w:rFonts w:ascii="TitilliumText25L" w:eastAsia="TitilliumText25L" w:hAnsi="TitilliumText25L" w:cs="TitilliumText25L"/>
                                <w:sz w:val="20"/>
                                <w:szCs w:val="20"/>
                              </w:rPr>
                            </w:pPr>
                            <w:r>
                              <w:rPr>
                                <w:rFonts w:ascii="TitilliumText25L" w:eastAsia="TitilliumText25L" w:hAnsi="TitilliumText25L" w:cs="TitilliumText25L"/>
                                <w:sz w:val="20"/>
                                <w:szCs w:val="20"/>
                              </w:rPr>
                              <w:t>©</w:t>
                            </w:r>
                            <w:r w:rsidR="00B34222">
                              <w:rPr>
                                <w:rFonts w:ascii="TitilliumText25L" w:eastAsia="TitilliumText25L" w:hAnsi="TitilliumText25L" w:cs="TitilliumText25L"/>
                                <w:sz w:val="20"/>
                                <w:szCs w:val="20"/>
                              </w:rPr>
                              <w:t>National Blood Authority, 201</w:t>
                            </w:r>
                            <w:r w:rsidR="004C128A">
                              <w:rPr>
                                <w:rFonts w:ascii="TitilliumText25L" w:eastAsia="TitilliumText25L" w:hAnsi="TitilliumText25L" w:cs="TitilliumText25L"/>
                                <w:sz w:val="20"/>
                                <w:szCs w:val="20"/>
                              </w:rPr>
                              <w:t>6</w:t>
                            </w:r>
                            <w:r w:rsidR="00B34222">
                              <w:rPr>
                                <w:rFonts w:ascii="TitilliumText25L" w:eastAsia="TitilliumText25L" w:hAnsi="TitilliumText25L" w:cs="TitilliumText25L"/>
                                <w:sz w:val="20"/>
                                <w:szCs w:val="20"/>
                              </w:rPr>
                              <w:tab/>
                            </w:r>
                            <w:r w:rsidR="004C128A">
                              <w:rPr>
                                <w:rFonts w:ascii="TitilliumText25L" w:eastAsia="TitilliumText25L" w:hAnsi="TitilliumText25L" w:cs="TitilliumText25L"/>
                                <w:noProof/>
                                <w:sz w:val="20"/>
                                <w:szCs w:val="20"/>
                                <w:lang w:eastAsia="en-AU"/>
                              </w:rPr>
                              <w:drawing>
                                <wp:inline distT="0" distB="0" distL="0" distR="0" wp14:anchorId="40A3EBC3" wp14:editId="6B986610">
                                  <wp:extent cx="567814" cy="2000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2">
                                            <a:extLst>
                                              <a:ext uri="{28A0092B-C50C-407E-A947-70E740481C1C}">
                                                <a14:useLocalDpi xmlns:a14="http://schemas.microsoft.com/office/drawing/2010/main" val="0"/>
                                              </a:ext>
                                            </a:extLst>
                                          </a:blip>
                                          <a:stretch>
                                            <a:fillRect/>
                                          </a:stretch>
                                        </pic:blipFill>
                                        <pic:spPr>
                                          <a:xfrm>
                                            <a:off x="0" y="0"/>
                                            <a:ext cx="572359" cy="201627"/>
                                          </a:xfrm>
                                          <a:prstGeom prst="rect">
                                            <a:avLst/>
                                          </a:prstGeom>
                                        </pic:spPr>
                                      </pic:pic>
                                    </a:graphicData>
                                  </a:graphic>
                                </wp:inline>
                              </w:drawing>
                            </w:r>
                          </w:p>
                          <w:p w:rsidR="00696BB9" w:rsidRDefault="00696BB9" w:rsidP="00696BB9">
                            <w:pPr>
                              <w:pStyle w:val="ReferenceText"/>
                            </w:pPr>
                            <w:r>
                              <w:t>With the exception of any logos, registered trademarks and all images, this document is provided by the National Blood Authority under a Creative Commons Attribution-4.0 Australia (http://creativecommons.org/licenses/by/</w:t>
                            </w:r>
                            <w:r w:rsidR="00FC27F4">
                              <w:t>4.0/) licens</w:t>
                            </w:r>
                            <w:r>
                              <w:t>e. The two images under ‘self-administered therapy with SCIg’ were taken at the Canberra Hospital.  The image under ‘Review Treatment Reviews’ section was sourced from Shutterstock. Images may only be downloaded and printed when the full publication is used for your own personal reference or for internal use within your organisation.  Permission must be sought from Shutterstock for any other u</w:t>
                            </w:r>
                            <w:r w:rsidR="00666A0B">
                              <w:t xml:space="preserve">se or modification of its </w:t>
                            </w:r>
                            <w:proofErr w:type="gramStart"/>
                            <w:r w:rsidR="00666A0B">
                              <w:t>image :h</w:t>
                            </w:r>
                            <w:r>
                              <w:t>ttp</w:t>
                            </w:r>
                            <w:proofErr w:type="gramEnd"/>
                            <w:r>
                              <w:t xml:space="preserve">://www.shutterstock.com/licensing.mhtml. All other rights to images are reserved. Last updated: </w:t>
                            </w:r>
                            <w:r w:rsidR="004C128A">
                              <w:t>March</w:t>
                            </w:r>
                            <w:r>
                              <w:t xml:space="preserve"> 201</w:t>
                            </w:r>
                            <w:r w:rsidR="004C128A">
                              <w:t>6</w:t>
                            </w:r>
                          </w:p>
                          <w:p w:rsidR="00B34222" w:rsidRDefault="00B34222" w:rsidP="00B76111">
                            <w:pPr>
                              <w:tabs>
                                <w:tab w:val="left" w:pos="4678"/>
                              </w:tabs>
                              <w:ind w:right="-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5.7pt;margin-top:150.75pt;width:261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" stroked="f">
                <v:textbox>
                  <w:txbxContent>
                    <w:p w:rsidR="00364001" w:rsidRDefault="00364001" w:rsidP="00364001">
                      <w:pPr>
                        <w:spacing w:before="64" w:after="0"/>
                        <w:ind w:left="1672" w:right="1438"/>
                        <w:jc w:val="center"/>
                        <w:rPr>
                          <w:rFonts w:ascii="TitilliumText25L" w:eastAsia="TitilliumText25L" w:hAnsi="TitilliumText25L" w:cs="TitilliumText25L"/>
                          <w:sz w:val="24"/>
                          <w:szCs w:val="24"/>
                        </w:rPr>
                      </w:pPr>
                      <w:r>
                        <w:rPr>
                          <w:rFonts w:ascii="TitilliumText25L" w:eastAsia="TitilliumText25L" w:hAnsi="TitilliumText25L" w:cs="TitilliumText25L"/>
                          <w:color w:val="FEA62B"/>
                          <w:sz w:val="24"/>
                          <w:szCs w:val="24"/>
                        </w:rPr>
                        <w:t>Contact details</w:t>
                      </w:r>
                    </w:p>
                    <w:p w:rsidR="00364001" w:rsidRDefault="00364001" w:rsidP="00364001">
                      <w:pPr>
                        <w:spacing w:before="91" w:after="0" w:line="241" w:lineRule="auto"/>
                        <w:ind w:right="23"/>
                        <w:rPr>
                          <w:rFonts w:ascii="TitilliumText25L" w:eastAsia="TitilliumText25L" w:hAnsi="TitilliumText25L" w:cs="TitilliumText25L"/>
                          <w:sz w:val="20"/>
                          <w:szCs w:val="20"/>
                        </w:rPr>
                      </w:pPr>
                      <w:r>
                        <w:rPr>
                          <w:rFonts w:ascii="TitilliumText25L" w:eastAsia="TitilliumText25L" w:hAnsi="TitilliumText25L" w:cs="TitilliumText25L"/>
                          <w:sz w:val="20"/>
                          <w:szCs w:val="20"/>
                        </w:rPr>
                        <w:t xml:space="preserve">Hospital: </w:t>
                      </w:r>
                      <w:r>
                        <w:rPr>
                          <w:rFonts w:ascii="TitilliumText25L" w:eastAsia="TitilliumText25L" w:hAnsi="TitilliumText25L" w:cs="TitilliumText25L"/>
                          <w:spacing w:val="-13"/>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6"/>
                          <w:sz w:val="20"/>
                          <w:szCs w:val="20"/>
                          <w:u w:val="single" w:color="000000"/>
                        </w:rPr>
                        <w:t xml:space="preserve"> </w:t>
                      </w:r>
                      <w:r>
                        <w:rPr>
                          <w:rFonts w:ascii="TitilliumText25L" w:eastAsia="TitilliumText25L" w:hAnsi="TitilliumText25L" w:cs="TitilliumText25L"/>
                          <w:spacing w:val="-6"/>
                          <w:sz w:val="20"/>
                          <w:szCs w:val="20"/>
                        </w:rPr>
                        <w:t xml:space="preserve"> </w:t>
                      </w:r>
                      <w:r>
                        <w:rPr>
                          <w:rFonts w:ascii="TitilliumText25L" w:eastAsia="TitilliumText25L" w:hAnsi="TitilliumText25L" w:cs="TitilliumText25L"/>
                          <w:sz w:val="20"/>
                          <w:szCs w:val="20"/>
                        </w:rPr>
                        <w:t>Phone:</w:t>
                      </w:r>
                      <w:r>
                        <w:rPr>
                          <w:rFonts w:ascii="TitilliumText25L" w:eastAsia="TitilliumText25L" w:hAnsi="TitilliumText25L" w:cs="TitilliumText25L"/>
                          <w:spacing w:val="-11"/>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4"/>
                          <w:sz w:val="20"/>
                          <w:szCs w:val="20"/>
                          <w:u w:val="single" w:color="000000"/>
                        </w:rPr>
                        <w:t xml:space="preserve"> </w:t>
                      </w:r>
                      <w:r>
                        <w:rPr>
                          <w:rFonts w:ascii="TitilliumText25L" w:eastAsia="TitilliumText25L" w:hAnsi="TitilliumText25L" w:cs="TitilliumText25L"/>
                          <w:spacing w:val="14"/>
                          <w:sz w:val="20"/>
                          <w:szCs w:val="20"/>
                        </w:rPr>
                        <w:t xml:space="preserve"> </w:t>
                      </w:r>
                      <w:r>
                        <w:rPr>
                          <w:rFonts w:ascii="TitilliumText25L" w:eastAsia="TitilliumText25L" w:hAnsi="TitilliumText25L" w:cs="TitilliumText25L"/>
                          <w:sz w:val="20"/>
                          <w:szCs w:val="20"/>
                        </w:rPr>
                        <w:t xml:space="preserve">Doctor:  </w:t>
                      </w:r>
                      <w:r>
                        <w:rPr>
                          <w:rFonts w:ascii="TitilliumText25L" w:eastAsia="TitilliumText25L" w:hAnsi="TitilliumText25L" w:cs="TitilliumText25L"/>
                          <w:spacing w:val="-17"/>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4"/>
                          <w:sz w:val="20"/>
                          <w:szCs w:val="20"/>
                          <w:u w:val="single" w:color="000000"/>
                        </w:rPr>
                        <w:t xml:space="preserve"> </w:t>
                      </w:r>
                      <w:r>
                        <w:rPr>
                          <w:rFonts w:ascii="TitilliumText25L" w:eastAsia="TitilliumText25L" w:hAnsi="TitilliumText25L" w:cs="TitilliumText25L"/>
                          <w:spacing w:val="4"/>
                          <w:sz w:val="20"/>
                          <w:szCs w:val="20"/>
                        </w:rPr>
                        <w:t xml:space="preserve"> </w:t>
                      </w:r>
                      <w:r>
                        <w:rPr>
                          <w:rFonts w:ascii="TitilliumText25L" w:eastAsia="TitilliumText25L" w:hAnsi="TitilliumText25L" w:cs="TitilliumText25L"/>
                          <w:sz w:val="20"/>
                          <w:szCs w:val="20"/>
                        </w:rPr>
                        <w:t>Phone:</w:t>
                      </w:r>
                      <w:r>
                        <w:rPr>
                          <w:rFonts w:ascii="TitilliumText25L" w:eastAsia="TitilliumText25L" w:hAnsi="TitilliumText25L" w:cs="TitilliumText25L"/>
                          <w:spacing w:val="-11"/>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4"/>
                          <w:sz w:val="20"/>
                          <w:szCs w:val="20"/>
                          <w:u w:val="single" w:color="000000"/>
                        </w:rPr>
                        <w:t xml:space="preserve"> </w:t>
                      </w:r>
                      <w:r>
                        <w:rPr>
                          <w:rFonts w:ascii="TitilliumText25L" w:eastAsia="TitilliumText25L" w:hAnsi="TitilliumText25L" w:cs="TitilliumText25L"/>
                          <w:spacing w:val="14"/>
                          <w:sz w:val="20"/>
                          <w:szCs w:val="20"/>
                        </w:rPr>
                        <w:t xml:space="preserve"> </w:t>
                      </w:r>
                      <w:r>
                        <w:rPr>
                          <w:rFonts w:ascii="TitilliumText25L" w:eastAsia="TitilliumText25L" w:hAnsi="TitilliumText25L" w:cs="TitilliumText25L"/>
                          <w:sz w:val="20"/>
                          <w:szCs w:val="20"/>
                        </w:rPr>
                        <w:t>Treatment centre:</w:t>
                      </w:r>
                      <w:r>
                        <w:rPr>
                          <w:rFonts w:ascii="TitilliumText25L" w:eastAsia="TitilliumText25L" w:hAnsi="TitilliumText25L" w:cs="TitilliumText25L"/>
                          <w:spacing w:val="-26"/>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8"/>
                          <w:sz w:val="20"/>
                          <w:szCs w:val="20"/>
                          <w:u w:val="single" w:color="000000"/>
                        </w:rPr>
                        <w:t xml:space="preserve"> </w:t>
                      </w:r>
                      <w:r>
                        <w:rPr>
                          <w:rFonts w:ascii="TitilliumText25L" w:eastAsia="TitilliumText25L" w:hAnsi="TitilliumText25L" w:cs="TitilliumText25L"/>
                          <w:spacing w:val="18"/>
                          <w:sz w:val="20"/>
                          <w:szCs w:val="20"/>
                        </w:rPr>
                        <w:t xml:space="preserve"> </w:t>
                      </w:r>
                      <w:r>
                        <w:rPr>
                          <w:rFonts w:ascii="TitilliumText25L" w:eastAsia="TitilliumText25L" w:hAnsi="TitilliumText25L" w:cs="TitilliumText25L"/>
                          <w:sz w:val="20"/>
                          <w:szCs w:val="20"/>
                        </w:rPr>
                        <w:t>Phone:</w:t>
                      </w:r>
                      <w:r>
                        <w:rPr>
                          <w:rFonts w:ascii="TitilliumText25L" w:eastAsia="TitilliumText25L" w:hAnsi="TitilliumText25L" w:cs="TitilliumText25L"/>
                          <w:spacing w:val="-11"/>
                          <w:sz w:val="20"/>
                          <w:szCs w:val="20"/>
                        </w:rPr>
                        <w:t xml:space="preserve"> </w:t>
                      </w:r>
                      <w:r>
                        <w:rPr>
                          <w:rFonts w:ascii="TitilliumText25L" w:eastAsia="TitilliumText25L" w:hAnsi="TitilliumText25L" w:cs="TitilliumText25L"/>
                          <w:sz w:val="20"/>
                          <w:szCs w:val="20"/>
                          <w:u w:val="single" w:color="000000"/>
                        </w:rPr>
                        <w:t xml:space="preserve">                                                                                     </w:t>
                      </w:r>
                      <w:r>
                        <w:rPr>
                          <w:rFonts w:ascii="TitilliumText25L" w:eastAsia="TitilliumText25L" w:hAnsi="TitilliumText25L" w:cs="TitilliumText25L"/>
                          <w:spacing w:val="14"/>
                          <w:sz w:val="20"/>
                          <w:szCs w:val="20"/>
                          <w:u w:val="single" w:color="000000"/>
                        </w:rPr>
                        <w:t xml:space="preserve"> </w:t>
                      </w:r>
                    </w:p>
                    <w:p w:rsidR="00B34222" w:rsidRDefault="00B34222" w:rsidP="00B34222">
                      <w:pPr>
                        <w:spacing w:after="0"/>
                        <w:ind w:left="1537" w:right="1303"/>
                        <w:jc w:val="center"/>
                        <w:rPr>
                          <w:rFonts w:ascii="TitilliumText25L" w:eastAsia="TitilliumText25L" w:hAnsi="TitilliumText25L" w:cs="TitilliumText25L"/>
                          <w:sz w:val="24"/>
                          <w:szCs w:val="24"/>
                        </w:rPr>
                      </w:pPr>
                      <w:r>
                        <w:rPr>
                          <w:rFonts w:ascii="TitilliumText25L" w:eastAsia="TitilliumText25L" w:hAnsi="TitilliumText25L" w:cs="TitilliumText25L"/>
                          <w:color w:val="FEA62B"/>
                          <w:sz w:val="24"/>
                          <w:szCs w:val="24"/>
                        </w:rPr>
                        <w:t>More information</w:t>
                      </w:r>
                    </w:p>
                    <w:p w:rsidR="00B34222" w:rsidRDefault="00B34222" w:rsidP="00B34222">
                      <w:pPr>
                        <w:spacing w:before="91" w:after="0" w:line="241" w:lineRule="auto"/>
                        <w:ind w:right="552"/>
                        <w:rPr>
                          <w:rFonts w:ascii="TitilliumText25L" w:eastAsia="TitilliumText25L" w:hAnsi="TitilliumText25L" w:cs="TitilliumText25L"/>
                          <w:sz w:val="20"/>
                          <w:szCs w:val="20"/>
                        </w:rPr>
                      </w:pPr>
                      <w:r>
                        <w:rPr>
                          <w:rFonts w:ascii="TitilliumText25L" w:eastAsia="TitilliumText25L" w:hAnsi="TitilliumText25L" w:cs="TitilliumText25L"/>
                          <w:sz w:val="20"/>
                          <w:szCs w:val="20"/>
                        </w:rPr>
                        <w:t>Additional information can be obtained from the following sites:</w:t>
                      </w:r>
                    </w:p>
                    <w:p w:rsidR="00B34222" w:rsidRPr="00D53CE3" w:rsidRDefault="009843DE" w:rsidP="00B34222">
                      <w:pPr>
                        <w:pStyle w:val="ListParagraph"/>
                        <w:widowControl w:val="0"/>
                        <w:numPr>
                          <w:ilvl w:val="0"/>
                          <w:numId w:val="10"/>
                        </w:numPr>
                        <w:tabs>
                          <w:tab w:val="left" w:pos="360"/>
                        </w:tabs>
                        <w:spacing w:after="0"/>
                        <w:ind w:right="-20"/>
                        <w:rPr>
                          <w:rFonts w:ascii="TitilliumText25L" w:eastAsia="TitilliumText25L" w:hAnsi="TitilliumText25L" w:cs="TitilliumText25L"/>
                          <w:sz w:val="20"/>
                          <w:szCs w:val="20"/>
                        </w:rPr>
                      </w:pPr>
                      <w:r w:rsidRPr="009843DE">
                        <w:rPr>
                          <w:rFonts w:ascii="TitilliumText25L" w:eastAsia="TitilliumText25L" w:hAnsi="TitilliumText25L" w:cs="TitilliumText25L"/>
                          <w:sz w:val="20"/>
                          <w:szCs w:val="20"/>
                        </w:rPr>
                        <w:t xml:space="preserve">National Blood Authority </w:t>
                      </w:r>
                      <w:hyperlink r:id="rId13" w:history="1">
                        <w:r w:rsidRPr="009843DE">
                          <w:rPr>
                            <w:rStyle w:val="Hyperlink"/>
                            <w:rFonts w:ascii="TitilliumText25L" w:eastAsia="TitilliumText25L" w:hAnsi="TitilliumText25L" w:cs="TitilliumText25L"/>
                            <w:sz w:val="20"/>
                            <w:szCs w:val="20"/>
                          </w:rPr>
                          <w:t>www.blood.gov.au</w:t>
                        </w:r>
                      </w:hyperlink>
                      <w:r>
                        <w:rPr>
                          <w:rFonts w:ascii="TitilliumText25L" w:eastAsia="TitilliumText25L" w:hAnsi="TitilliumText25L" w:cs="TitilliumText25L"/>
                          <w:sz w:val="20"/>
                          <w:szCs w:val="20"/>
                        </w:rPr>
                        <w:t xml:space="preserve">  </w:t>
                      </w:r>
                    </w:p>
                    <w:p w:rsidR="00B34222" w:rsidRPr="00D53CE3" w:rsidRDefault="00B34222" w:rsidP="00B34222">
                      <w:pPr>
                        <w:pStyle w:val="ListParagraph"/>
                        <w:widowControl w:val="0"/>
                        <w:numPr>
                          <w:ilvl w:val="0"/>
                          <w:numId w:val="10"/>
                        </w:numPr>
                        <w:tabs>
                          <w:tab w:val="left" w:pos="360"/>
                        </w:tabs>
                        <w:spacing w:before="1" w:after="0" w:line="241" w:lineRule="auto"/>
                        <w:ind w:right="1353"/>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Au</w:t>
                      </w:r>
                      <w:r>
                        <w:rPr>
                          <w:rFonts w:ascii="TitilliumText25L" w:eastAsia="TitilliumText25L" w:hAnsi="TitilliumText25L" w:cs="TitilliumText25L"/>
                          <w:sz w:val="20"/>
                          <w:szCs w:val="20"/>
                        </w:rPr>
                        <w:t>stralian Red Cross Blood Service</w:t>
                      </w:r>
                      <w:hyperlink w:history="1">
                        <w:r w:rsidRPr="00103419">
                          <w:rPr>
                            <w:rStyle w:val="Hyperlink"/>
                            <w:rFonts w:ascii="TitilliumText25L" w:eastAsia="TitilliumText25L" w:hAnsi="TitilliumText25L" w:cs="TitilliumText25L"/>
                            <w:sz w:val="20"/>
                            <w:szCs w:val="20"/>
                          </w:rPr>
                          <w:t xml:space="preserve"> www.mytransfusion.com.au</w:t>
                        </w:r>
                      </w:hyperlink>
                    </w:p>
                    <w:p w:rsidR="00666A0B" w:rsidRPr="00666A0B" w:rsidRDefault="00B34222" w:rsidP="00666A0B">
                      <w:pPr>
                        <w:pStyle w:val="ListParagraph"/>
                        <w:widowControl w:val="0"/>
                        <w:numPr>
                          <w:ilvl w:val="0"/>
                          <w:numId w:val="10"/>
                        </w:numPr>
                        <w:tabs>
                          <w:tab w:val="left" w:pos="360"/>
                        </w:tabs>
                        <w:spacing w:after="0" w:line="241" w:lineRule="auto"/>
                        <w:ind w:right="391"/>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 xml:space="preserve">National Health and Medical Research Council </w:t>
                      </w:r>
                      <w:hyperlink r:id="rId14" w:history="1">
                        <w:r w:rsidRPr="00493B17">
                          <w:rPr>
                            <w:rStyle w:val="Hyperlink"/>
                            <w:rFonts w:ascii="TitilliumText25L" w:eastAsia="TitilliumText25L" w:hAnsi="TitilliumText25L" w:cs="TitilliumText25L"/>
                            <w:sz w:val="20"/>
                            <w:szCs w:val="20"/>
                          </w:rPr>
                          <w:t>www.nhmrc.gov.au</w:t>
                        </w:r>
                      </w:hyperlink>
                      <w:r w:rsidR="009843DE">
                        <w:rPr>
                          <w:rFonts w:ascii="TitilliumText25L" w:eastAsia="TitilliumText25L" w:hAnsi="TitilliumText25L" w:cs="TitilliumText25L"/>
                          <w:sz w:val="20"/>
                          <w:szCs w:val="20"/>
                        </w:rPr>
                        <w:t xml:space="preserve"> </w:t>
                      </w:r>
                    </w:p>
                    <w:p w:rsidR="004C128A" w:rsidRPr="00666A0B" w:rsidRDefault="00666A0B" w:rsidP="00666A0B">
                      <w:pPr>
                        <w:pStyle w:val="ListParagraph"/>
                        <w:widowControl w:val="0"/>
                        <w:numPr>
                          <w:ilvl w:val="0"/>
                          <w:numId w:val="17"/>
                        </w:numPr>
                        <w:tabs>
                          <w:tab w:val="left" w:pos="360"/>
                        </w:tabs>
                        <w:spacing w:after="0"/>
                        <w:ind w:right="391"/>
                        <w:rPr>
                          <w:rFonts w:ascii="TitilliumText25L" w:eastAsia="TitilliumText25L" w:hAnsi="TitilliumText25L" w:cs="TitilliumText25L"/>
                          <w:sz w:val="20"/>
                          <w:szCs w:val="20"/>
                        </w:rPr>
                      </w:pPr>
                      <w:r w:rsidRPr="00666A0B">
                        <w:rPr>
                          <w:rFonts w:ascii="TitilliumText25L" w:eastAsia="TitilliumText25L" w:hAnsi="TitilliumText25L" w:cs="TitilliumText25L"/>
                          <w:sz w:val="20"/>
                          <w:szCs w:val="20"/>
                        </w:rPr>
                        <w:t>This brochure was developed with input from relevant consumer groups.</w:t>
                      </w:r>
                    </w:p>
                    <w:p w:rsidR="00B34222" w:rsidRDefault="00696BB9" w:rsidP="00666A0B">
                      <w:pPr>
                        <w:tabs>
                          <w:tab w:val="left" w:pos="3500"/>
                        </w:tabs>
                        <w:spacing w:after="0"/>
                        <w:ind w:right="-23"/>
                        <w:rPr>
                          <w:rFonts w:ascii="TitilliumText25L" w:eastAsia="TitilliumText25L" w:hAnsi="TitilliumText25L" w:cs="TitilliumText25L"/>
                          <w:sz w:val="20"/>
                          <w:szCs w:val="20"/>
                        </w:rPr>
                      </w:pPr>
                      <w:r>
                        <w:rPr>
                          <w:rFonts w:ascii="TitilliumText25L" w:eastAsia="TitilliumText25L" w:hAnsi="TitilliumText25L" w:cs="TitilliumText25L"/>
                          <w:sz w:val="20"/>
                          <w:szCs w:val="20"/>
                        </w:rPr>
                        <w:t>©</w:t>
                      </w:r>
                      <w:r w:rsidR="00B34222">
                        <w:rPr>
                          <w:rFonts w:ascii="TitilliumText25L" w:eastAsia="TitilliumText25L" w:hAnsi="TitilliumText25L" w:cs="TitilliumText25L"/>
                          <w:sz w:val="20"/>
                          <w:szCs w:val="20"/>
                        </w:rPr>
                        <w:t>National Blood Authority, 201</w:t>
                      </w:r>
                      <w:r w:rsidR="004C128A">
                        <w:rPr>
                          <w:rFonts w:ascii="TitilliumText25L" w:eastAsia="TitilliumText25L" w:hAnsi="TitilliumText25L" w:cs="TitilliumText25L"/>
                          <w:sz w:val="20"/>
                          <w:szCs w:val="20"/>
                        </w:rPr>
                        <w:t>6</w:t>
                      </w:r>
                      <w:r w:rsidR="00B34222">
                        <w:rPr>
                          <w:rFonts w:ascii="TitilliumText25L" w:eastAsia="TitilliumText25L" w:hAnsi="TitilliumText25L" w:cs="TitilliumText25L"/>
                          <w:sz w:val="20"/>
                          <w:szCs w:val="20"/>
                        </w:rPr>
                        <w:tab/>
                      </w:r>
                      <w:r w:rsidR="004C128A">
                        <w:rPr>
                          <w:rFonts w:ascii="TitilliumText25L" w:eastAsia="TitilliumText25L" w:hAnsi="TitilliumText25L" w:cs="TitilliumText25L"/>
                          <w:noProof/>
                          <w:sz w:val="20"/>
                          <w:szCs w:val="20"/>
                          <w:lang w:eastAsia="en-AU"/>
                        </w:rPr>
                        <w:drawing>
                          <wp:inline distT="0" distB="0" distL="0" distR="0" wp14:anchorId="40A3EBC3" wp14:editId="6B986610">
                            <wp:extent cx="567814" cy="2000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2">
                                      <a:extLst>
                                        <a:ext uri="{28A0092B-C50C-407E-A947-70E740481C1C}">
                                          <a14:useLocalDpi xmlns:a14="http://schemas.microsoft.com/office/drawing/2010/main" val="0"/>
                                        </a:ext>
                                      </a:extLst>
                                    </a:blip>
                                    <a:stretch>
                                      <a:fillRect/>
                                    </a:stretch>
                                  </pic:blipFill>
                                  <pic:spPr>
                                    <a:xfrm>
                                      <a:off x="0" y="0"/>
                                      <a:ext cx="572359" cy="201627"/>
                                    </a:xfrm>
                                    <a:prstGeom prst="rect">
                                      <a:avLst/>
                                    </a:prstGeom>
                                  </pic:spPr>
                                </pic:pic>
                              </a:graphicData>
                            </a:graphic>
                          </wp:inline>
                        </w:drawing>
                      </w:r>
                    </w:p>
                    <w:p w:rsidR="00696BB9" w:rsidRDefault="00696BB9" w:rsidP="00696BB9">
                      <w:pPr>
                        <w:pStyle w:val="ReferenceText"/>
                      </w:pPr>
                      <w:r>
                        <w:t>With the exception of any logos, registered trademarks and all images, this document is provided by the National Blood Authority under a Creative Commons Attribution-4.0 Australia (http://creativecommons.org/licenses/by/</w:t>
                      </w:r>
                      <w:r w:rsidR="00FC27F4">
                        <w:t>4.0/) licens</w:t>
                      </w:r>
                      <w:r>
                        <w:t>e. The two images under ‘self-administered therapy with SCIg’ were taken at the Canberra Hospital.  The image under ‘Review Treatment Reviews’ section was sourced from Shutterstock. Images may only be downloaded and printed when the full publication is used for your own personal reference or for internal use within your organisation.  Permission must be sought from Shutterstock for any other u</w:t>
                      </w:r>
                      <w:r w:rsidR="00666A0B">
                        <w:t xml:space="preserve">se or modification of its </w:t>
                      </w:r>
                      <w:proofErr w:type="gramStart"/>
                      <w:r w:rsidR="00666A0B">
                        <w:t>image :h</w:t>
                      </w:r>
                      <w:r>
                        <w:t>ttp</w:t>
                      </w:r>
                      <w:proofErr w:type="gramEnd"/>
                      <w:r>
                        <w:t xml:space="preserve">://www.shutterstock.com/licensing.mhtml. All other rights to images are reserved. Last updated: </w:t>
                      </w:r>
                      <w:r w:rsidR="004C128A">
                        <w:t>March</w:t>
                      </w:r>
                      <w:r>
                        <w:t xml:space="preserve"> 201</w:t>
                      </w:r>
                      <w:r w:rsidR="004C128A">
                        <w:t>6</w:t>
                      </w:r>
                    </w:p>
                    <w:p w:rsidR="00B34222" w:rsidRDefault="00B34222" w:rsidP="00B76111">
                      <w:pPr>
                        <w:tabs>
                          <w:tab w:val="left" w:pos="4678"/>
                        </w:tabs>
                        <w:ind w:right="-80"/>
                      </w:pPr>
                    </w:p>
                  </w:txbxContent>
                </v:textbox>
              </v:shape>
            </w:pict>
          </mc:Fallback>
        </mc:AlternateContent>
      </w:r>
      <w:r>
        <w:rPr>
          <w:i/>
          <w:noProof/>
          <w:lang w:eastAsia="en-AU"/>
        </w:rPr>
        <mc:AlternateContent>
          <mc:Choice Requires="wps">
            <w:drawing>
              <wp:anchor distT="0" distB="0" distL="114300" distR="114300" simplePos="0" relativeHeight="251672576" behindDoc="0" locked="0" layoutInCell="1" allowOverlap="1" wp14:anchorId="4EA32783" wp14:editId="642FB470">
                <wp:simplePos x="0" y="0"/>
                <wp:positionH relativeFrom="column">
                  <wp:posOffset>3739515</wp:posOffset>
                </wp:positionH>
                <wp:positionV relativeFrom="paragraph">
                  <wp:posOffset>1628775</wp:posOffset>
                </wp:positionV>
                <wp:extent cx="29146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94.45pt,128.25pt" to="523.9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" strokecolor="black [3213]"/>
            </w:pict>
          </mc:Fallback>
        </mc:AlternateContent>
      </w:r>
      <w:r>
        <w:rPr>
          <w:i/>
          <w:noProof/>
          <w:lang w:eastAsia="en-AU"/>
        </w:rPr>
        <mc:AlternateContent>
          <mc:Choice Requires="wpg">
            <w:drawing>
              <wp:anchor distT="0" distB="0" distL="114300" distR="114300" simplePos="0" relativeHeight="251686912" behindDoc="0" locked="0" layoutInCell="1" allowOverlap="1" wp14:anchorId="152A2374" wp14:editId="0C9EC8CC">
                <wp:simplePos x="0" y="0"/>
                <wp:positionH relativeFrom="column">
                  <wp:posOffset>4187190</wp:posOffset>
                </wp:positionH>
                <wp:positionV relativeFrom="paragraph">
                  <wp:posOffset>2352675</wp:posOffset>
                </wp:positionV>
                <wp:extent cx="2552700" cy="742950"/>
                <wp:effectExtent l="0" t="0" r="19050" b="19050"/>
                <wp:wrapNone/>
                <wp:docPr id="15" name="Group 15"/>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16" name="Straight Connector 16"/>
                        <wps:cNvCnPr/>
                        <wps:spPr>
                          <a:xfrm>
                            <a:off x="0" y="0"/>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0" y="161925"/>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0" y="304800"/>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447675"/>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514350" y="600075"/>
                            <a:ext cx="203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0" y="742950"/>
                            <a:ext cx="255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5" o:spid="_x0000_s1026" style="position:absolute;margin-left:329.7pt;margin-top:185.25pt;width:201pt;height:58.5pt;z-index:251686912"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">
                <v:line id="Straight Connector 16" o:spid="_x0000_s1027" style="position:absolute;visibility:visible;mso-wrap-style:square" from="0,0" to="25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line id="Straight Connector 17" o:spid="_x0000_s1028" style="position:absolute;visibility:visible;mso-wrap-style:square" from="0,1619" to="2552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18" o:spid="_x0000_s1029" style="position:absolute;visibility:visible;mso-wrap-style:square" from="0,3048" to="2552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9" o:spid="_x0000_s1030" style="position:absolute;visibility:visible;mso-wrap-style:square" from="0,4476" to="2552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31" style="position:absolute;visibility:visible;mso-wrap-style:square" from="5143,6000" to="2552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line id="Straight Connector 21" o:spid="_x0000_s1032" style="position:absolute;visibility:visible;mso-wrap-style:square" from="0,7429" to="25527,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HsUAAADbAAAADwAAAGRycy9kb3ducmV2LnhtbESPQWvCQBSE74X+h+UVvNVNAhpJXSUU&#10;hGpPakuvj+wzic2+DbvbGP31XaHQ4zAz3zDL9Wg6MZDzrWUF6TQBQVxZ3XKt4OO4eV6A8AFZY2eZ&#10;FFzJw3r1+LDEQtsL72k4hFpECPsCFTQh9IWUvmrIoJ/anjh6J+sMhihdLbXDS4SbTmZJMpcGW44L&#10;Dfb02lD1ffgxChbV7uzKvNyms88+vw3Z+3zzlSs1eRrLFxCBxvAf/mu/aQVZ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vqHsUAAADbAAAADwAAAAAAAAAA&#10;AAAAAAChAgAAZHJzL2Rvd25yZXYueG1sUEsFBgAAAAAEAAQA+QAAAJMDAAAAAA==&#10;" strokecolor="black [3213]"/>
              </v:group>
            </w:pict>
          </mc:Fallback>
        </mc:AlternateContent>
      </w:r>
      <w:r>
        <w:rPr>
          <w:i/>
          <w:noProof/>
          <w:lang w:eastAsia="en-AU"/>
        </w:rPr>
        <mc:AlternateContent>
          <mc:Choice Requires="wps">
            <w:drawing>
              <wp:anchor distT="0" distB="0" distL="114300" distR="114300" simplePos="0" relativeHeight="251674624" behindDoc="0" locked="0" layoutInCell="1" allowOverlap="1" wp14:anchorId="6F271979" wp14:editId="4A0920FB">
                <wp:simplePos x="0" y="0"/>
                <wp:positionH relativeFrom="column">
                  <wp:posOffset>3825240</wp:posOffset>
                </wp:positionH>
                <wp:positionV relativeFrom="paragraph">
                  <wp:posOffset>1809750</wp:posOffset>
                </wp:positionV>
                <wp:extent cx="27527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2pt,142.5pt" to="517.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" strokecolor="black [3213]"/>
            </w:pict>
          </mc:Fallback>
        </mc:AlternateContent>
      </w:r>
      <w:r w:rsidRPr="00B76111">
        <w:rPr>
          <w:i/>
          <w:noProof/>
          <w:lang w:eastAsia="en-AU"/>
        </w:rPr>
        <mc:AlternateContent>
          <mc:Choice Requires="wps">
            <w:drawing>
              <wp:anchor distT="0" distB="0" distL="114300" distR="114300" simplePos="0" relativeHeight="251669504" behindDoc="0" locked="0" layoutInCell="1" allowOverlap="1" wp14:anchorId="5B4317EC" wp14:editId="37F9914D">
                <wp:simplePos x="0" y="0"/>
                <wp:positionH relativeFrom="column">
                  <wp:posOffset>3615690</wp:posOffset>
                </wp:positionH>
                <wp:positionV relativeFrom="paragraph">
                  <wp:posOffset>-704850</wp:posOffset>
                </wp:positionV>
                <wp:extent cx="3200400" cy="26193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19375"/>
                        </a:xfrm>
                        <a:prstGeom prst="rect">
                          <a:avLst/>
                        </a:prstGeom>
                        <a:noFill/>
                        <a:ln w="9525">
                          <a:noFill/>
                          <a:miter lim="800000"/>
                          <a:headEnd/>
                          <a:tailEnd/>
                        </a:ln>
                      </wps:spPr>
                      <wps:txbx>
                        <w:txbxContent>
                          <w:p w:rsidR="00B76111" w:rsidRDefault="00B76111" w:rsidP="00B76111">
                            <w:pPr>
                              <w:spacing w:after="0"/>
                              <w:ind w:left="900" w:right="-20"/>
                              <w:rPr>
                                <w:rFonts w:ascii="TitilliumText25L" w:eastAsia="TitilliumText25L" w:hAnsi="TitilliumText25L" w:cs="TitilliumText25L"/>
                                <w:sz w:val="21"/>
                                <w:szCs w:val="21"/>
                              </w:rPr>
                            </w:pPr>
                            <w:r>
                              <w:rPr>
                                <w:rFonts w:ascii="TitilliumText25L" w:eastAsia="TitilliumText25L" w:hAnsi="TitilliumText25L" w:cs="TitilliumText25L"/>
                                <w:sz w:val="21"/>
                                <w:szCs w:val="21"/>
                              </w:rPr>
                              <w:t>Questions to ask your doctor</w:t>
                            </w:r>
                          </w:p>
                          <w:p w:rsidR="00B76111" w:rsidRDefault="00B76111" w:rsidP="00B76111">
                            <w:pPr>
                              <w:spacing w:before="19" w:after="0" w:line="241" w:lineRule="auto"/>
                              <w:ind w:left="20" w:right="505" w:firstLine="320"/>
                              <w:rPr>
                                <w:rFonts w:ascii="TitilliumText25L" w:eastAsia="TitilliumText25L" w:hAnsi="TitilliumText25L" w:cs="TitilliumText25L"/>
                                <w:sz w:val="20"/>
                                <w:szCs w:val="20"/>
                              </w:rPr>
                            </w:pPr>
                            <w:r>
                              <w:rPr>
                                <w:rFonts w:ascii="TitilliumText25L" w:eastAsia="TitilliumText25L" w:hAnsi="TitilliumText25L" w:cs="TitilliumText25L"/>
                                <w:sz w:val="20"/>
                                <w:szCs w:val="20"/>
                              </w:rPr>
                              <w:t>Below is a list of questions that you may like to ask your doctor to help you make an informed decision before agreeing to treatment:</w:t>
                            </w:r>
                          </w:p>
                          <w:p w:rsidR="00B76111" w:rsidRPr="00D53CE3" w:rsidRDefault="00B76111" w:rsidP="00B76111">
                            <w:pPr>
                              <w:pStyle w:val="ListParagraph"/>
                              <w:widowControl w:val="0"/>
                              <w:numPr>
                                <w:ilvl w:val="0"/>
                                <w:numId w:val="9"/>
                              </w:numPr>
                              <w:tabs>
                                <w:tab w:val="left" w:pos="360"/>
                              </w:tabs>
                              <w:spacing w:after="0"/>
                              <w:ind w:right="-20"/>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Why do I need this product?</w:t>
                            </w:r>
                          </w:p>
                          <w:p w:rsidR="00B76111" w:rsidRPr="00D53CE3" w:rsidRDefault="00B76111" w:rsidP="00B76111">
                            <w:pPr>
                              <w:pStyle w:val="ListParagraph"/>
                              <w:widowControl w:val="0"/>
                              <w:numPr>
                                <w:ilvl w:val="0"/>
                                <w:numId w:val="9"/>
                              </w:numPr>
                              <w:tabs>
                                <w:tab w:val="left" w:pos="360"/>
                              </w:tabs>
                              <w:spacing w:before="1" w:after="0"/>
                              <w:ind w:right="-20"/>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Are there any other treatment options?</w:t>
                            </w:r>
                          </w:p>
                          <w:p w:rsidR="00B76111" w:rsidRPr="00D53CE3" w:rsidRDefault="00B76111" w:rsidP="00B76111">
                            <w:pPr>
                              <w:pStyle w:val="ListParagraph"/>
                              <w:widowControl w:val="0"/>
                              <w:numPr>
                                <w:ilvl w:val="0"/>
                                <w:numId w:val="9"/>
                              </w:numPr>
                              <w:tabs>
                                <w:tab w:val="left" w:pos="360"/>
                              </w:tabs>
                              <w:spacing w:before="1" w:after="0" w:line="241" w:lineRule="auto"/>
                              <w:ind w:right="347"/>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What are the expected outcomes of this  treatment?</w:t>
                            </w:r>
                          </w:p>
                          <w:p w:rsidR="00B76111" w:rsidRDefault="00B76111" w:rsidP="00B76111">
                            <w:pPr>
                              <w:spacing w:after="0" w:line="241" w:lineRule="auto"/>
                              <w:ind w:right="-56"/>
                              <w:rPr>
                                <w:rFonts w:ascii="TitilliumText25L" w:eastAsia="TitilliumText25L" w:hAnsi="TitilliumText25L" w:cs="TitilliumText25L"/>
                                <w:sz w:val="20"/>
                                <w:szCs w:val="20"/>
                              </w:rPr>
                            </w:pPr>
                            <w:r>
                              <w:rPr>
                                <w:rFonts w:ascii="TitilliumText25L" w:eastAsia="TitilliumText25L" w:hAnsi="TitilliumText25L" w:cs="TitilliumText25L"/>
                                <w:sz w:val="20"/>
                                <w:szCs w:val="20"/>
                              </w:rPr>
                              <w:t>Your doctor should discuss any queries you have regarding the treatment and you should be offered written information. You have the right to ask questions and expect those questions to be answered.</w:t>
                            </w:r>
                          </w:p>
                          <w:p w:rsidR="00364001" w:rsidRDefault="00364001" w:rsidP="00364001">
                            <w:pPr>
                              <w:spacing w:after="0" w:line="229" w:lineRule="exact"/>
                              <w:ind w:right="-20"/>
                              <w:rPr>
                                <w:rFonts w:ascii="TitilliumText25L" w:eastAsia="TitilliumText25L" w:hAnsi="TitilliumText25L" w:cs="TitilliumText25L"/>
                                <w:sz w:val="20"/>
                                <w:szCs w:val="20"/>
                              </w:rPr>
                            </w:pPr>
                            <w:r>
                              <w:rPr>
                                <w:rFonts w:ascii="TitilliumText25L" w:eastAsia="TitilliumText25L" w:hAnsi="TitilliumText25L" w:cs="TitilliumText25L"/>
                                <w:sz w:val="20"/>
                                <w:szCs w:val="20"/>
                              </w:rPr>
                              <w:t>Other questions I would like to discuss with my doctor:</w:t>
                            </w:r>
                          </w:p>
                          <w:p w:rsidR="00364001" w:rsidRDefault="00364001" w:rsidP="00B76111">
                            <w:pPr>
                              <w:spacing w:after="0" w:line="241" w:lineRule="auto"/>
                              <w:ind w:right="-56"/>
                              <w:rPr>
                                <w:rFonts w:ascii="TitilliumText25L" w:eastAsia="TitilliumText25L" w:hAnsi="TitilliumText25L" w:cs="TitilliumText25L"/>
                                <w:sz w:val="20"/>
                                <w:szCs w:val="20"/>
                              </w:rPr>
                            </w:pPr>
                          </w:p>
                          <w:p w:rsidR="00B76111" w:rsidRDefault="00B76111" w:rsidP="00B76111">
                            <w:pPr>
                              <w:tabs>
                                <w:tab w:val="left" w:pos="4678"/>
                              </w:tabs>
                              <w:ind w:right="-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4.7pt;margin-top:-55.5pt;width:252pt;height:20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" filled="f" stroked="f">
                <v:textbox>
                  <w:txbxContent>
                    <w:p w:rsidR="00B76111" w:rsidRDefault="00B76111" w:rsidP="00B76111">
                      <w:pPr>
                        <w:spacing w:after="0"/>
                        <w:ind w:left="900" w:right="-20"/>
                        <w:rPr>
                          <w:rFonts w:ascii="TitilliumText25L" w:eastAsia="TitilliumText25L" w:hAnsi="TitilliumText25L" w:cs="TitilliumText25L"/>
                          <w:sz w:val="21"/>
                          <w:szCs w:val="21"/>
                        </w:rPr>
                      </w:pPr>
                      <w:r>
                        <w:rPr>
                          <w:rFonts w:ascii="TitilliumText25L" w:eastAsia="TitilliumText25L" w:hAnsi="TitilliumText25L" w:cs="TitilliumText25L"/>
                          <w:sz w:val="21"/>
                          <w:szCs w:val="21"/>
                        </w:rPr>
                        <w:t>Questions to ask your doctor</w:t>
                      </w:r>
                    </w:p>
                    <w:p w:rsidR="00B76111" w:rsidRDefault="00B76111" w:rsidP="00B76111">
                      <w:pPr>
                        <w:spacing w:before="19" w:after="0" w:line="241" w:lineRule="auto"/>
                        <w:ind w:left="20" w:right="505" w:firstLine="320"/>
                        <w:rPr>
                          <w:rFonts w:ascii="TitilliumText25L" w:eastAsia="TitilliumText25L" w:hAnsi="TitilliumText25L" w:cs="TitilliumText25L"/>
                          <w:sz w:val="20"/>
                          <w:szCs w:val="20"/>
                        </w:rPr>
                      </w:pPr>
                      <w:r>
                        <w:rPr>
                          <w:rFonts w:ascii="TitilliumText25L" w:eastAsia="TitilliumText25L" w:hAnsi="TitilliumText25L" w:cs="TitilliumText25L"/>
                          <w:sz w:val="20"/>
                          <w:szCs w:val="20"/>
                        </w:rPr>
                        <w:t>Below is a list of questions that you may like to ask your doctor to help you make an informed decision before agreeing to treatment:</w:t>
                      </w:r>
                    </w:p>
                    <w:p w:rsidR="00B76111" w:rsidRPr="00D53CE3" w:rsidRDefault="00B76111" w:rsidP="00B76111">
                      <w:pPr>
                        <w:pStyle w:val="ListParagraph"/>
                        <w:widowControl w:val="0"/>
                        <w:numPr>
                          <w:ilvl w:val="0"/>
                          <w:numId w:val="9"/>
                        </w:numPr>
                        <w:tabs>
                          <w:tab w:val="left" w:pos="360"/>
                        </w:tabs>
                        <w:spacing w:after="0"/>
                        <w:ind w:right="-20"/>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Why do I need this product?</w:t>
                      </w:r>
                    </w:p>
                    <w:p w:rsidR="00B76111" w:rsidRPr="00D53CE3" w:rsidRDefault="00B76111" w:rsidP="00B76111">
                      <w:pPr>
                        <w:pStyle w:val="ListParagraph"/>
                        <w:widowControl w:val="0"/>
                        <w:numPr>
                          <w:ilvl w:val="0"/>
                          <w:numId w:val="9"/>
                        </w:numPr>
                        <w:tabs>
                          <w:tab w:val="left" w:pos="360"/>
                        </w:tabs>
                        <w:spacing w:before="1" w:after="0"/>
                        <w:ind w:right="-20"/>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Are there any other treatment options?</w:t>
                      </w:r>
                    </w:p>
                    <w:p w:rsidR="00B76111" w:rsidRPr="00D53CE3" w:rsidRDefault="00B76111" w:rsidP="00B76111">
                      <w:pPr>
                        <w:pStyle w:val="ListParagraph"/>
                        <w:widowControl w:val="0"/>
                        <w:numPr>
                          <w:ilvl w:val="0"/>
                          <w:numId w:val="9"/>
                        </w:numPr>
                        <w:tabs>
                          <w:tab w:val="left" w:pos="360"/>
                        </w:tabs>
                        <w:spacing w:before="1" w:after="0" w:line="241" w:lineRule="auto"/>
                        <w:ind w:right="347"/>
                        <w:rPr>
                          <w:rFonts w:ascii="TitilliumText25L" w:eastAsia="TitilliumText25L" w:hAnsi="TitilliumText25L" w:cs="TitilliumText25L"/>
                          <w:sz w:val="20"/>
                          <w:szCs w:val="20"/>
                        </w:rPr>
                      </w:pPr>
                      <w:r w:rsidRPr="00D53CE3">
                        <w:rPr>
                          <w:rFonts w:ascii="TitilliumText25L" w:eastAsia="TitilliumText25L" w:hAnsi="TitilliumText25L" w:cs="TitilliumText25L"/>
                          <w:sz w:val="20"/>
                          <w:szCs w:val="20"/>
                        </w:rPr>
                        <w:t>What are the expected outcomes of this  treatment?</w:t>
                      </w:r>
                    </w:p>
                    <w:p w:rsidR="00B76111" w:rsidRDefault="00B76111" w:rsidP="00B76111">
                      <w:pPr>
                        <w:spacing w:after="0" w:line="241" w:lineRule="auto"/>
                        <w:ind w:right="-56"/>
                        <w:rPr>
                          <w:rFonts w:ascii="TitilliumText25L" w:eastAsia="TitilliumText25L" w:hAnsi="TitilliumText25L" w:cs="TitilliumText25L"/>
                          <w:sz w:val="20"/>
                          <w:szCs w:val="20"/>
                        </w:rPr>
                      </w:pPr>
                      <w:r>
                        <w:rPr>
                          <w:rFonts w:ascii="TitilliumText25L" w:eastAsia="TitilliumText25L" w:hAnsi="TitilliumText25L" w:cs="TitilliumText25L"/>
                          <w:sz w:val="20"/>
                          <w:szCs w:val="20"/>
                        </w:rPr>
                        <w:t>Your doctor should discuss any queries you have regarding the treatment and you should be offered written information. You have the right to ask questions and expect those questions to be answered.</w:t>
                      </w:r>
                    </w:p>
                    <w:p w:rsidR="00364001" w:rsidRDefault="00364001" w:rsidP="00364001">
                      <w:pPr>
                        <w:spacing w:after="0" w:line="229" w:lineRule="exact"/>
                        <w:ind w:right="-20"/>
                        <w:rPr>
                          <w:rFonts w:ascii="TitilliumText25L" w:eastAsia="TitilliumText25L" w:hAnsi="TitilliumText25L" w:cs="TitilliumText25L"/>
                          <w:sz w:val="20"/>
                          <w:szCs w:val="20"/>
                        </w:rPr>
                      </w:pPr>
                      <w:r>
                        <w:rPr>
                          <w:rFonts w:ascii="TitilliumText25L" w:eastAsia="TitilliumText25L" w:hAnsi="TitilliumText25L" w:cs="TitilliumText25L"/>
                          <w:sz w:val="20"/>
                          <w:szCs w:val="20"/>
                        </w:rPr>
                        <w:t>Other questions I would like to discuss with my doctor:</w:t>
                      </w:r>
                    </w:p>
                    <w:p w:rsidR="00364001" w:rsidRDefault="00364001" w:rsidP="00B76111">
                      <w:pPr>
                        <w:spacing w:after="0" w:line="241" w:lineRule="auto"/>
                        <w:ind w:right="-56"/>
                        <w:rPr>
                          <w:rFonts w:ascii="TitilliumText25L" w:eastAsia="TitilliumText25L" w:hAnsi="TitilliumText25L" w:cs="TitilliumText25L"/>
                          <w:sz w:val="20"/>
                          <w:szCs w:val="20"/>
                        </w:rPr>
                      </w:pPr>
                    </w:p>
                    <w:p w:rsidR="00B76111" w:rsidRDefault="00B76111" w:rsidP="00B76111">
                      <w:pPr>
                        <w:tabs>
                          <w:tab w:val="left" w:pos="4678"/>
                        </w:tabs>
                        <w:ind w:right="-80"/>
                      </w:pPr>
                    </w:p>
                  </w:txbxContent>
                </v:textbox>
              </v:shape>
            </w:pict>
          </mc:Fallback>
        </mc:AlternateContent>
      </w:r>
      <w:r>
        <w:rPr>
          <w:i/>
          <w:noProof/>
          <w:lang w:eastAsia="en-AU"/>
        </w:rPr>
        <mc:AlternateContent>
          <mc:Choice Requires="wps">
            <w:drawing>
              <wp:anchor distT="0" distB="0" distL="114300" distR="114300" simplePos="0" relativeHeight="251668479" behindDoc="0" locked="0" layoutInCell="1" allowOverlap="1" wp14:anchorId="7C480545" wp14:editId="71FF2126">
                <wp:simplePos x="0" y="0"/>
                <wp:positionH relativeFrom="column">
                  <wp:posOffset>3606165</wp:posOffset>
                </wp:positionH>
                <wp:positionV relativeFrom="paragraph">
                  <wp:posOffset>-704850</wp:posOffset>
                </wp:positionV>
                <wp:extent cx="3200400" cy="2619375"/>
                <wp:effectExtent l="0" t="0" r="0" b="9525"/>
                <wp:wrapNone/>
                <wp:docPr id="11" name="Rounded Rectangle 11"/>
                <wp:cNvGraphicFramePr/>
                <a:graphic xmlns:a="http://schemas.openxmlformats.org/drawingml/2006/main">
                  <a:graphicData uri="http://schemas.microsoft.com/office/word/2010/wordprocessingShape">
                    <wps:wsp>
                      <wps:cNvSpPr/>
                      <wps:spPr>
                        <a:xfrm>
                          <a:off x="0" y="0"/>
                          <a:ext cx="3200400" cy="2619375"/>
                        </a:xfrm>
                        <a:prstGeom prst="roundRect">
                          <a:avLst/>
                        </a:prstGeom>
                        <a:solidFill>
                          <a:srgbClr val="FFA02F">
                            <a:alpha val="5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26" style="position:absolute;margin-left:283.95pt;margin-top:-55.5pt;width:252pt;height:206.25pt;z-index:251668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" fillcolor="#ffa02f" stroked="f" strokeweight="2pt">
                <v:fill opacity="35980f"/>
              </v:roundrect>
            </w:pict>
          </mc:Fallback>
        </mc:AlternateContent>
      </w:r>
      <w:r w:rsidR="00364001">
        <w:rPr>
          <w:i/>
          <w:noProof/>
          <w:lang w:eastAsia="en-AU"/>
        </w:rPr>
        <mc:AlternateContent>
          <mc:Choice Requires="wps">
            <w:drawing>
              <wp:anchor distT="0" distB="0" distL="114300" distR="114300" simplePos="0" relativeHeight="251670528" behindDoc="0" locked="0" layoutInCell="1" allowOverlap="1" wp14:anchorId="7F9A9A74" wp14:editId="69244E1F">
                <wp:simplePos x="0" y="0"/>
                <wp:positionH relativeFrom="column">
                  <wp:posOffset>3739515</wp:posOffset>
                </wp:positionH>
                <wp:positionV relativeFrom="paragraph">
                  <wp:posOffset>1466850</wp:posOffset>
                </wp:positionV>
                <wp:extent cx="29146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914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4.45pt,115.5pt" to="523.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" strokecolor="black [3213]"/>
            </w:pict>
          </mc:Fallback>
        </mc:AlternateContent>
      </w:r>
      <w:r w:rsidR="00B76111" w:rsidRPr="00B76111">
        <w:rPr>
          <w:i/>
          <w:noProof/>
          <w:lang w:eastAsia="en-AU"/>
        </w:rPr>
        <mc:AlternateContent>
          <mc:Choice Requires="wps">
            <w:drawing>
              <wp:anchor distT="0" distB="0" distL="114300" distR="114300" simplePos="0" relativeHeight="251667456" behindDoc="0" locked="0" layoutInCell="1" allowOverlap="1" wp14:anchorId="11EC0D69" wp14:editId="27CB1D75">
                <wp:simplePos x="0" y="0"/>
                <wp:positionH relativeFrom="column">
                  <wp:posOffset>7035165</wp:posOffset>
                </wp:positionH>
                <wp:positionV relativeFrom="paragraph">
                  <wp:posOffset>-857250</wp:posOffset>
                </wp:positionV>
                <wp:extent cx="3352800" cy="73437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343775"/>
                        </a:xfrm>
                        <a:prstGeom prst="rect">
                          <a:avLst/>
                        </a:prstGeom>
                        <a:solidFill>
                          <a:srgbClr val="FFFFFF"/>
                        </a:solidFill>
                        <a:ln w="9525">
                          <a:noFill/>
                          <a:miter lim="800000"/>
                          <a:headEnd/>
                          <a:tailEnd/>
                        </a:ln>
                      </wps:spPr>
                      <wps:txbx>
                        <w:txbxContent>
                          <w:p w:rsidR="00B76111" w:rsidRDefault="00B928BE" w:rsidP="00B76111">
                            <w:r>
                              <w:rPr>
                                <w:noProof/>
                                <w:lang w:eastAsia="en-AU"/>
                              </w:rPr>
                              <w:drawing>
                                <wp:inline distT="0" distB="0" distL="0" distR="0">
                                  <wp:extent cx="3332652" cy="15906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g trifold Patient information brochure-Hea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1089" cy="1594702"/>
                                          </a:xfrm>
                                          <a:prstGeom prst="rect">
                                            <a:avLst/>
                                          </a:prstGeom>
                                        </pic:spPr>
                                      </pic:pic>
                                    </a:graphicData>
                                  </a:graphic>
                                </wp:inline>
                              </w:drawing>
                            </w:r>
                          </w:p>
                          <w:p w:rsidR="00B928BE" w:rsidRPr="00B928BE" w:rsidRDefault="00B928BE" w:rsidP="00B34222">
                            <w:pPr>
                              <w:jc w:val="center"/>
                              <w:rPr>
                                <w:sz w:val="2"/>
                              </w:rPr>
                            </w:pPr>
                          </w:p>
                          <w:p w:rsidR="00B34222" w:rsidRDefault="00B34222" w:rsidP="00B34222">
                            <w:pPr>
                              <w:jc w:val="center"/>
                            </w:pPr>
                            <w:r>
                              <w:rPr>
                                <w:noProof/>
                                <w:lang w:eastAsia="en-AU"/>
                              </w:rPr>
                              <w:drawing>
                                <wp:inline distT="0" distB="0" distL="0" distR="0">
                                  <wp:extent cx="1628643" cy="561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215" cy="566658"/>
                                          </a:xfrm>
                                          <a:prstGeom prst="rect">
                                            <a:avLst/>
                                          </a:prstGeom>
                                          <a:noFill/>
                                          <a:ln>
                                            <a:noFill/>
                                          </a:ln>
                                        </pic:spPr>
                                      </pic:pic>
                                    </a:graphicData>
                                  </a:graphic>
                                </wp:inline>
                              </w:drawing>
                            </w:r>
                          </w:p>
                          <w:p w:rsidR="00B928BE" w:rsidRPr="00B928BE" w:rsidRDefault="00B928BE" w:rsidP="00B928BE">
                            <w:pPr>
                              <w:pStyle w:val="BodyText"/>
                              <w:ind w:left="284"/>
                              <w:rPr>
                                <w:sz w:val="6"/>
                              </w:rPr>
                            </w:pPr>
                          </w:p>
                          <w:p w:rsidR="00B928BE" w:rsidRDefault="00B928BE" w:rsidP="00092D3B">
                            <w:pPr>
                              <w:pStyle w:val="BodyText"/>
                              <w:spacing w:line="240" w:lineRule="auto"/>
                              <w:ind w:left="142"/>
                            </w:pPr>
                            <w:r w:rsidRPr="00B928BE">
                              <w:t xml:space="preserve">Your clinician has advised you that as part of your treatment you will be receiving medication called immunoglobulin. This product is funded and supplied </w:t>
                            </w:r>
                            <w:r w:rsidR="00C25FCD">
                              <w:br/>
                            </w:r>
                            <w:r w:rsidRPr="00B928BE">
                              <w:t xml:space="preserve">by Australian governments for a specific range of indications defined within the Criteria for the clinical use of </w:t>
                            </w:r>
                            <w:r w:rsidR="00E023B1">
                              <w:t>intravenous immunoglobulin</w:t>
                            </w:r>
                            <w:r w:rsidRPr="00B928BE">
                              <w:t xml:space="preserve"> in Australia </w:t>
                            </w:r>
                            <w:r w:rsidR="00E023B1">
                              <w:t>Second</w:t>
                            </w:r>
                            <w:r w:rsidR="00FC27F4">
                              <w:t xml:space="preserve"> Edition (</w:t>
                            </w:r>
                            <w:r w:rsidRPr="00B928BE">
                              <w:t>Criteria).</w:t>
                            </w:r>
                          </w:p>
                          <w:p w:rsidR="00E023B1" w:rsidRPr="00B928BE" w:rsidRDefault="00E023B1" w:rsidP="00092D3B">
                            <w:pPr>
                              <w:pStyle w:val="BodyText"/>
                              <w:spacing w:line="240" w:lineRule="auto"/>
                              <w:ind w:left="142"/>
                            </w:pPr>
                          </w:p>
                          <w:p w:rsidR="00B928BE" w:rsidRPr="00B928BE" w:rsidRDefault="00B928BE" w:rsidP="00092D3B">
                            <w:pPr>
                              <w:tabs>
                                <w:tab w:val="left" w:pos="4820"/>
                              </w:tabs>
                              <w:spacing w:after="0"/>
                              <w:ind w:left="142" w:right="18"/>
                              <w:rPr>
                                <w:rFonts w:ascii="TitilliumText25L" w:hAnsi="TitilliumText25L"/>
                                <w:sz w:val="20"/>
                                <w:szCs w:val="20"/>
                              </w:rPr>
                            </w:pPr>
                            <w:r w:rsidRPr="00B928BE">
                              <w:rPr>
                                <w:rFonts w:ascii="TitilliumText25L" w:hAnsi="TitilliumText25L"/>
                                <w:sz w:val="20"/>
                                <w:szCs w:val="20"/>
                              </w:rPr>
                              <w:t>Immunoglobulin is product derived from blood plasma donations which have been divided into different components. The immunoglobulin components are antibodies from the body’s immune (defence) system which fight infections and disease.</w:t>
                            </w:r>
                          </w:p>
                          <w:p w:rsidR="00B928BE" w:rsidRPr="00B928BE" w:rsidRDefault="00B928BE" w:rsidP="00B928BE">
                            <w:pPr>
                              <w:tabs>
                                <w:tab w:val="left" w:pos="4820"/>
                              </w:tabs>
                              <w:spacing w:after="0" w:line="241" w:lineRule="auto"/>
                              <w:ind w:right="18"/>
                              <w:rPr>
                                <w:rFonts w:ascii="TitilliumText25L" w:hAnsi="TitilliumText25L"/>
                                <w:sz w:val="20"/>
                                <w:szCs w:val="20"/>
                              </w:rPr>
                            </w:pPr>
                          </w:p>
                          <w:p w:rsidR="00B928BE" w:rsidRPr="00B928BE" w:rsidRDefault="00B928BE" w:rsidP="00B928BE">
                            <w:pPr>
                              <w:suppressAutoHyphens/>
                              <w:autoSpaceDE w:val="0"/>
                              <w:autoSpaceDN w:val="0"/>
                              <w:adjustRightInd w:val="0"/>
                              <w:spacing w:before="85" w:after="0" w:line="288" w:lineRule="auto"/>
                              <w:jc w:val="center"/>
                              <w:textAlignment w:val="center"/>
                              <w:rPr>
                                <w:rFonts w:ascii="TitilliumText25L" w:eastAsiaTheme="minorHAnsi" w:hAnsi="TitilliumText25L" w:cs="TitilliumText25L"/>
                                <w:color w:val="FEA62B"/>
                                <w:sz w:val="26"/>
                                <w:szCs w:val="26"/>
                                <w:lang w:val="en-US"/>
                              </w:rPr>
                            </w:pPr>
                            <w:r w:rsidRPr="00B928BE">
                              <w:rPr>
                                <w:rFonts w:ascii="TitilliumText25L" w:eastAsiaTheme="minorHAnsi" w:hAnsi="TitilliumText25L" w:cs="TitilliumText25L"/>
                                <w:color w:val="FEA62B"/>
                                <w:sz w:val="24"/>
                                <w:szCs w:val="24"/>
                                <w:lang w:val="en-US"/>
                              </w:rPr>
                              <w:t>What is sub</w:t>
                            </w:r>
                            <w:r w:rsidR="00FC27F4">
                              <w:rPr>
                                <w:rFonts w:ascii="TitilliumText25L" w:eastAsiaTheme="minorHAnsi" w:hAnsi="TitilliumText25L" w:cs="TitilliumText25L"/>
                                <w:color w:val="FEA62B"/>
                                <w:sz w:val="24"/>
                                <w:szCs w:val="24"/>
                                <w:lang w:val="en-US"/>
                              </w:rPr>
                              <w:t>cutaneous immunoglobulin</w:t>
                            </w:r>
                            <w:r w:rsidR="00FC27F4">
                              <w:rPr>
                                <w:rFonts w:ascii="TitilliumText25L" w:eastAsiaTheme="minorHAnsi" w:hAnsi="TitilliumText25L" w:cs="TitilliumText25L"/>
                                <w:color w:val="FEA62B"/>
                                <w:sz w:val="24"/>
                                <w:szCs w:val="24"/>
                                <w:lang w:val="en-US"/>
                              </w:rPr>
                              <w:br/>
                            </w:r>
                            <w:r w:rsidRPr="00B928BE">
                              <w:rPr>
                                <w:rFonts w:ascii="TitilliumText25L" w:eastAsiaTheme="minorHAnsi" w:hAnsi="TitilliumText25L" w:cs="TitilliumText25L"/>
                                <w:color w:val="FEA62B"/>
                                <w:sz w:val="24"/>
                                <w:szCs w:val="24"/>
                                <w:lang w:val="en-US"/>
                              </w:rPr>
                              <w:t>treatment?</w:t>
                            </w:r>
                          </w:p>
                          <w:p w:rsidR="00B928BE" w:rsidRPr="00B928BE" w:rsidRDefault="00B928BE" w:rsidP="00092D3B">
                            <w:pPr>
                              <w:suppressAutoHyphens/>
                              <w:autoSpaceDE w:val="0"/>
                              <w:autoSpaceDN w:val="0"/>
                              <w:adjustRightInd w:val="0"/>
                              <w:spacing w:before="85" w:after="0"/>
                              <w:ind w:left="142"/>
                              <w:textAlignment w:val="center"/>
                              <w:rPr>
                                <w:rFonts w:ascii="TitilliumText25L" w:eastAsiaTheme="minorHAnsi" w:hAnsi="TitilliumText25L" w:cs="TitilliumText25L"/>
                                <w:color w:val="000000"/>
                                <w:sz w:val="20"/>
                                <w:szCs w:val="20"/>
                                <w:lang w:val="en-US"/>
                              </w:rPr>
                            </w:pPr>
                            <w:r w:rsidRPr="00B928BE">
                              <w:rPr>
                                <w:rFonts w:ascii="TitilliumText25L" w:eastAsiaTheme="minorHAnsi" w:hAnsi="TitilliumText25L" w:cs="TitilliumText25L"/>
                                <w:color w:val="000000"/>
                                <w:sz w:val="20"/>
                                <w:szCs w:val="20"/>
                                <w:lang w:val="en-US"/>
                              </w:rPr>
                              <w:t>Subcutaneous immunoglobulin</w:t>
                            </w:r>
                            <w:r w:rsidR="00E023B1">
                              <w:rPr>
                                <w:rFonts w:ascii="TitilliumText25L" w:eastAsiaTheme="minorHAnsi" w:hAnsi="TitilliumText25L" w:cs="TitilliumText25L"/>
                                <w:color w:val="000000"/>
                                <w:sz w:val="20"/>
                                <w:szCs w:val="20"/>
                                <w:lang w:val="en-US"/>
                              </w:rPr>
                              <w:t xml:space="preserve"> (SCIg)</w:t>
                            </w:r>
                            <w:r w:rsidRPr="00B928BE">
                              <w:rPr>
                                <w:rFonts w:ascii="TitilliumText25L" w:eastAsiaTheme="minorHAnsi" w:hAnsi="TitilliumText25L" w:cs="TitilliumText25L"/>
                                <w:color w:val="000000"/>
                                <w:sz w:val="20"/>
                                <w:szCs w:val="20"/>
                                <w:lang w:val="en-US"/>
                              </w:rPr>
                              <w:t xml:space="preserve"> treatment is a method used to administer SCIg product by inserting a needle containing SCIg into the fat tissue under the skin.</w:t>
                            </w:r>
                          </w:p>
                          <w:p w:rsidR="00B928BE" w:rsidRDefault="00B928BE" w:rsidP="00B928BE">
                            <w:pPr>
                              <w:tabs>
                                <w:tab w:val="left" w:pos="4820"/>
                              </w:tabs>
                              <w:spacing w:after="0" w:line="241" w:lineRule="auto"/>
                              <w:ind w:right="18"/>
                              <w:jc w:val="center"/>
                            </w:pPr>
                          </w:p>
                          <w:p w:rsidR="00B34222" w:rsidRPr="00D53CE3" w:rsidRDefault="00B34222" w:rsidP="00B34222">
                            <w:pPr>
                              <w:pStyle w:val="ListParagraph"/>
                              <w:widowControl w:val="0"/>
                              <w:numPr>
                                <w:ilvl w:val="0"/>
                                <w:numId w:val="11"/>
                              </w:numPr>
                              <w:tabs>
                                <w:tab w:val="left" w:pos="360"/>
                                <w:tab w:val="left" w:pos="4820"/>
                              </w:tabs>
                              <w:spacing w:before="25" w:after="0"/>
                              <w:ind w:left="0" w:right="18"/>
                              <w:rPr>
                                <w:rFonts w:ascii="TitilliumText25L" w:eastAsia="TitilliumText25L" w:hAnsi="TitilliumText25L" w:cs="TitilliumText25L"/>
                                <w:sz w:val="20"/>
                                <w:szCs w:val="20"/>
                              </w:rPr>
                            </w:pPr>
                          </w:p>
                          <w:p w:rsidR="00B34222" w:rsidRDefault="00B34222" w:rsidP="00B34222">
                            <w:pPr>
                              <w:tabs>
                                <w:tab w:val="left" w:pos="4820"/>
                              </w:tabs>
                              <w:ind w:right="18"/>
                              <w:jc w:val="center"/>
                            </w:pPr>
                            <w:r>
                              <w:rPr>
                                <w:noProof/>
                                <w:lang w:eastAsia="en-AU"/>
                              </w:rPr>
                              <w:drawing>
                                <wp:inline distT="0" distB="0" distL="0" distR="0" wp14:anchorId="17C000E5" wp14:editId="3BEF1B85">
                                  <wp:extent cx="2704611" cy="5143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A4 letterhead_head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2807" cy="5159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553.95pt;margin-top:-67.5pt;width:264pt;height:57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" stroked="f">
                <v:textbox>
                  <w:txbxContent>
                    <w:p w:rsidR="00B76111" w:rsidRDefault="00B928BE" w:rsidP="00B76111">
                      <w:r>
                        <w:rPr>
                          <w:noProof/>
                          <w:lang w:eastAsia="en-AU"/>
                        </w:rPr>
                        <w:drawing>
                          <wp:inline distT="0" distB="0" distL="0" distR="0">
                            <wp:extent cx="3332652" cy="15906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g trifold Patient information brochure-Hea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1089" cy="1594702"/>
                                    </a:xfrm>
                                    <a:prstGeom prst="rect">
                                      <a:avLst/>
                                    </a:prstGeom>
                                  </pic:spPr>
                                </pic:pic>
                              </a:graphicData>
                            </a:graphic>
                          </wp:inline>
                        </w:drawing>
                      </w:r>
                    </w:p>
                    <w:p w:rsidR="00B928BE" w:rsidRPr="00B928BE" w:rsidRDefault="00B928BE" w:rsidP="00B34222">
                      <w:pPr>
                        <w:jc w:val="center"/>
                        <w:rPr>
                          <w:sz w:val="2"/>
                        </w:rPr>
                      </w:pPr>
                    </w:p>
                    <w:p w:rsidR="00B34222" w:rsidRDefault="00B34222" w:rsidP="00B34222">
                      <w:pPr>
                        <w:jc w:val="center"/>
                      </w:pPr>
                      <w:r>
                        <w:rPr>
                          <w:noProof/>
                          <w:lang w:eastAsia="en-AU"/>
                        </w:rPr>
                        <w:drawing>
                          <wp:inline distT="0" distB="0" distL="0" distR="0">
                            <wp:extent cx="1628643" cy="561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215" cy="566658"/>
                                    </a:xfrm>
                                    <a:prstGeom prst="rect">
                                      <a:avLst/>
                                    </a:prstGeom>
                                    <a:noFill/>
                                    <a:ln>
                                      <a:noFill/>
                                    </a:ln>
                                  </pic:spPr>
                                </pic:pic>
                              </a:graphicData>
                            </a:graphic>
                          </wp:inline>
                        </w:drawing>
                      </w:r>
                    </w:p>
                    <w:p w:rsidR="00B928BE" w:rsidRPr="00B928BE" w:rsidRDefault="00B928BE" w:rsidP="00B928BE">
                      <w:pPr>
                        <w:pStyle w:val="BodyText"/>
                        <w:ind w:left="284"/>
                        <w:rPr>
                          <w:sz w:val="6"/>
                        </w:rPr>
                      </w:pPr>
                    </w:p>
                    <w:p w:rsidR="00B928BE" w:rsidRDefault="00B928BE" w:rsidP="00092D3B">
                      <w:pPr>
                        <w:pStyle w:val="BodyText"/>
                        <w:spacing w:line="240" w:lineRule="auto"/>
                        <w:ind w:left="142"/>
                      </w:pPr>
                      <w:r w:rsidRPr="00B928BE">
                        <w:t xml:space="preserve">Your clinician has advised you that as part of your treatment you will be receiving medication called immunoglobulin. This product is funded and supplied </w:t>
                      </w:r>
                      <w:r w:rsidR="00C25FCD">
                        <w:br/>
                      </w:r>
                      <w:r w:rsidRPr="00B928BE">
                        <w:t xml:space="preserve">by Australian governments for a specific range of indications defined within the Criteria for the clinical use of </w:t>
                      </w:r>
                      <w:r w:rsidR="00E023B1">
                        <w:t>intravenous immunoglobulin</w:t>
                      </w:r>
                      <w:r w:rsidRPr="00B928BE">
                        <w:t xml:space="preserve"> in Australia </w:t>
                      </w:r>
                      <w:r w:rsidR="00E023B1">
                        <w:t>Second</w:t>
                      </w:r>
                      <w:r w:rsidR="00FC27F4">
                        <w:t xml:space="preserve"> Edition (</w:t>
                      </w:r>
                      <w:r w:rsidRPr="00B928BE">
                        <w:t>Criteria).</w:t>
                      </w:r>
                    </w:p>
                    <w:p w:rsidR="00E023B1" w:rsidRPr="00B928BE" w:rsidRDefault="00E023B1" w:rsidP="00092D3B">
                      <w:pPr>
                        <w:pStyle w:val="BodyText"/>
                        <w:spacing w:line="240" w:lineRule="auto"/>
                        <w:ind w:left="142"/>
                      </w:pPr>
                    </w:p>
                    <w:p w:rsidR="00B928BE" w:rsidRPr="00B928BE" w:rsidRDefault="00B928BE" w:rsidP="00092D3B">
                      <w:pPr>
                        <w:tabs>
                          <w:tab w:val="left" w:pos="4820"/>
                        </w:tabs>
                        <w:spacing w:after="0"/>
                        <w:ind w:left="142" w:right="18"/>
                        <w:rPr>
                          <w:rFonts w:ascii="TitilliumText25L" w:hAnsi="TitilliumText25L"/>
                          <w:sz w:val="20"/>
                          <w:szCs w:val="20"/>
                        </w:rPr>
                      </w:pPr>
                      <w:r w:rsidRPr="00B928BE">
                        <w:rPr>
                          <w:rFonts w:ascii="TitilliumText25L" w:hAnsi="TitilliumText25L"/>
                          <w:sz w:val="20"/>
                          <w:szCs w:val="20"/>
                        </w:rPr>
                        <w:t>Immunoglobulin is product derived from blood plasma donations which have been divided into different components. The immunoglobulin components are antibodies from the body’s immune (defence) system which fight infections and disease.</w:t>
                      </w:r>
                    </w:p>
                    <w:p w:rsidR="00B928BE" w:rsidRPr="00B928BE" w:rsidRDefault="00B928BE" w:rsidP="00B928BE">
                      <w:pPr>
                        <w:tabs>
                          <w:tab w:val="left" w:pos="4820"/>
                        </w:tabs>
                        <w:spacing w:after="0" w:line="241" w:lineRule="auto"/>
                        <w:ind w:right="18"/>
                        <w:rPr>
                          <w:rFonts w:ascii="TitilliumText25L" w:hAnsi="TitilliumText25L"/>
                          <w:sz w:val="20"/>
                          <w:szCs w:val="20"/>
                        </w:rPr>
                      </w:pPr>
                    </w:p>
                    <w:p w:rsidR="00B928BE" w:rsidRPr="00B928BE" w:rsidRDefault="00B928BE" w:rsidP="00B928BE">
                      <w:pPr>
                        <w:suppressAutoHyphens/>
                        <w:autoSpaceDE w:val="0"/>
                        <w:autoSpaceDN w:val="0"/>
                        <w:adjustRightInd w:val="0"/>
                        <w:spacing w:before="85" w:after="0" w:line="288" w:lineRule="auto"/>
                        <w:jc w:val="center"/>
                        <w:textAlignment w:val="center"/>
                        <w:rPr>
                          <w:rFonts w:ascii="TitilliumText25L" w:eastAsiaTheme="minorHAnsi" w:hAnsi="TitilliumText25L" w:cs="TitilliumText25L"/>
                          <w:color w:val="FEA62B"/>
                          <w:sz w:val="26"/>
                          <w:szCs w:val="26"/>
                          <w:lang w:val="en-US"/>
                        </w:rPr>
                      </w:pPr>
                      <w:r w:rsidRPr="00B928BE">
                        <w:rPr>
                          <w:rFonts w:ascii="TitilliumText25L" w:eastAsiaTheme="minorHAnsi" w:hAnsi="TitilliumText25L" w:cs="TitilliumText25L"/>
                          <w:color w:val="FEA62B"/>
                          <w:sz w:val="24"/>
                          <w:szCs w:val="24"/>
                          <w:lang w:val="en-US"/>
                        </w:rPr>
                        <w:t>What is sub</w:t>
                      </w:r>
                      <w:r w:rsidR="00FC27F4">
                        <w:rPr>
                          <w:rFonts w:ascii="TitilliumText25L" w:eastAsiaTheme="minorHAnsi" w:hAnsi="TitilliumText25L" w:cs="TitilliumText25L"/>
                          <w:color w:val="FEA62B"/>
                          <w:sz w:val="24"/>
                          <w:szCs w:val="24"/>
                          <w:lang w:val="en-US"/>
                        </w:rPr>
                        <w:t>cutaneous immunoglobulin</w:t>
                      </w:r>
                      <w:r w:rsidR="00FC27F4">
                        <w:rPr>
                          <w:rFonts w:ascii="TitilliumText25L" w:eastAsiaTheme="minorHAnsi" w:hAnsi="TitilliumText25L" w:cs="TitilliumText25L"/>
                          <w:color w:val="FEA62B"/>
                          <w:sz w:val="24"/>
                          <w:szCs w:val="24"/>
                          <w:lang w:val="en-US"/>
                        </w:rPr>
                        <w:br/>
                      </w:r>
                      <w:r w:rsidRPr="00B928BE">
                        <w:rPr>
                          <w:rFonts w:ascii="TitilliumText25L" w:eastAsiaTheme="minorHAnsi" w:hAnsi="TitilliumText25L" w:cs="TitilliumText25L"/>
                          <w:color w:val="FEA62B"/>
                          <w:sz w:val="24"/>
                          <w:szCs w:val="24"/>
                          <w:lang w:val="en-US"/>
                        </w:rPr>
                        <w:t>treatment?</w:t>
                      </w:r>
                    </w:p>
                    <w:p w:rsidR="00B928BE" w:rsidRPr="00B928BE" w:rsidRDefault="00B928BE" w:rsidP="00092D3B">
                      <w:pPr>
                        <w:suppressAutoHyphens/>
                        <w:autoSpaceDE w:val="0"/>
                        <w:autoSpaceDN w:val="0"/>
                        <w:adjustRightInd w:val="0"/>
                        <w:spacing w:before="85" w:after="0"/>
                        <w:ind w:left="142"/>
                        <w:textAlignment w:val="center"/>
                        <w:rPr>
                          <w:rFonts w:ascii="TitilliumText25L" w:eastAsiaTheme="minorHAnsi" w:hAnsi="TitilliumText25L" w:cs="TitilliumText25L"/>
                          <w:color w:val="000000"/>
                          <w:sz w:val="20"/>
                          <w:szCs w:val="20"/>
                          <w:lang w:val="en-US"/>
                        </w:rPr>
                      </w:pPr>
                      <w:r w:rsidRPr="00B928BE">
                        <w:rPr>
                          <w:rFonts w:ascii="TitilliumText25L" w:eastAsiaTheme="minorHAnsi" w:hAnsi="TitilliumText25L" w:cs="TitilliumText25L"/>
                          <w:color w:val="000000"/>
                          <w:sz w:val="20"/>
                          <w:szCs w:val="20"/>
                          <w:lang w:val="en-US"/>
                        </w:rPr>
                        <w:t>Subcutaneous immunoglobulin</w:t>
                      </w:r>
                      <w:r w:rsidR="00E023B1">
                        <w:rPr>
                          <w:rFonts w:ascii="TitilliumText25L" w:eastAsiaTheme="minorHAnsi" w:hAnsi="TitilliumText25L" w:cs="TitilliumText25L"/>
                          <w:color w:val="000000"/>
                          <w:sz w:val="20"/>
                          <w:szCs w:val="20"/>
                          <w:lang w:val="en-US"/>
                        </w:rPr>
                        <w:t xml:space="preserve"> (SCIg)</w:t>
                      </w:r>
                      <w:r w:rsidRPr="00B928BE">
                        <w:rPr>
                          <w:rFonts w:ascii="TitilliumText25L" w:eastAsiaTheme="minorHAnsi" w:hAnsi="TitilliumText25L" w:cs="TitilliumText25L"/>
                          <w:color w:val="000000"/>
                          <w:sz w:val="20"/>
                          <w:szCs w:val="20"/>
                          <w:lang w:val="en-US"/>
                        </w:rPr>
                        <w:t xml:space="preserve"> treatment is a method used to administer SCIg product by inserting a needle containing SCIg into the fat tissue under the skin.</w:t>
                      </w:r>
                    </w:p>
                    <w:p w:rsidR="00B928BE" w:rsidRDefault="00B928BE" w:rsidP="00B928BE">
                      <w:pPr>
                        <w:tabs>
                          <w:tab w:val="left" w:pos="4820"/>
                        </w:tabs>
                        <w:spacing w:after="0" w:line="241" w:lineRule="auto"/>
                        <w:ind w:right="18"/>
                        <w:jc w:val="center"/>
                      </w:pPr>
                    </w:p>
                    <w:p w:rsidR="00B34222" w:rsidRPr="00D53CE3" w:rsidRDefault="00B34222" w:rsidP="00B34222">
                      <w:pPr>
                        <w:pStyle w:val="ListParagraph"/>
                        <w:widowControl w:val="0"/>
                        <w:numPr>
                          <w:ilvl w:val="0"/>
                          <w:numId w:val="11"/>
                        </w:numPr>
                        <w:tabs>
                          <w:tab w:val="left" w:pos="360"/>
                          <w:tab w:val="left" w:pos="4820"/>
                        </w:tabs>
                        <w:spacing w:before="25" w:after="0"/>
                        <w:ind w:left="0" w:right="18"/>
                        <w:rPr>
                          <w:rFonts w:ascii="TitilliumText25L" w:eastAsia="TitilliumText25L" w:hAnsi="TitilliumText25L" w:cs="TitilliumText25L"/>
                          <w:sz w:val="20"/>
                          <w:szCs w:val="20"/>
                        </w:rPr>
                      </w:pPr>
                    </w:p>
                    <w:p w:rsidR="00B34222" w:rsidRDefault="00B34222" w:rsidP="00B34222">
                      <w:pPr>
                        <w:tabs>
                          <w:tab w:val="left" w:pos="4820"/>
                        </w:tabs>
                        <w:ind w:right="18"/>
                        <w:jc w:val="center"/>
                      </w:pPr>
                      <w:r>
                        <w:rPr>
                          <w:noProof/>
                          <w:lang w:eastAsia="en-AU"/>
                        </w:rPr>
                        <w:drawing>
                          <wp:inline distT="0" distB="0" distL="0" distR="0" wp14:anchorId="17C000E5" wp14:editId="3BEF1B85">
                            <wp:extent cx="2704611" cy="5143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A4 letterhead_head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2807" cy="51590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sidR="00B76111" w:rsidRPr="00B76111">
        <w:rPr>
          <w:i/>
          <w:noProof/>
          <w:lang w:eastAsia="en-AU"/>
        </w:rPr>
        <mc:AlternateContent>
          <mc:Choice Requires="wps">
            <w:drawing>
              <wp:anchor distT="0" distB="0" distL="114300" distR="114300" simplePos="0" relativeHeight="251665408" behindDoc="0" locked="0" layoutInCell="1" allowOverlap="1" wp14:anchorId="6345BECA" wp14:editId="05B538DB">
                <wp:simplePos x="0" y="0"/>
                <wp:positionH relativeFrom="column">
                  <wp:posOffset>43815</wp:posOffset>
                </wp:positionH>
                <wp:positionV relativeFrom="paragraph">
                  <wp:posOffset>-857250</wp:posOffset>
                </wp:positionV>
                <wp:extent cx="3305175" cy="7324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324725"/>
                        </a:xfrm>
                        <a:prstGeom prst="rect">
                          <a:avLst/>
                        </a:prstGeom>
                        <a:noFill/>
                        <a:ln w="9525">
                          <a:noFill/>
                          <a:miter lim="800000"/>
                          <a:headEnd/>
                          <a:tailEnd/>
                        </a:ln>
                      </wps:spPr>
                      <wps:txbx>
                        <w:txbxContent>
                          <w:p w:rsidR="00696BB9" w:rsidRPr="00696BB9" w:rsidRDefault="00696BB9" w:rsidP="00696BB9">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696BB9">
                              <w:rPr>
                                <w:rFonts w:ascii="TitilliumText25L" w:eastAsiaTheme="minorHAnsi" w:hAnsi="TitilliumText25L" w:cs="TitilliumText25L"/>
                                <w:color w:val="FEA62B"/>
                                <w:sz w:val="24"/>
                                <w:szCs w:val="24"/>
                                <w:lang w:val="en-US"/>
                              </w:rPr>
                              <w:t>Regular Treatment Reviews</w:t>
                            </w:r>
                          </w:p>
                          <w:p w:rsidR="00696BB9" w:rsidRPr="00696BB9" w:rsidRDefault="00696BB9" w:rsidP="00E54C98">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696BB9">
                              <w:rPr>
                                <w:rFonts w:ascii="TitilliumText25L" w:eastAsiaTheme="minorHAnsi" w:hAnsi="TitilliumText25L" w:cs="TitilliumText25L"/>
                                <w:color w:val="000000"/>
                                <w:sz w:val="20"/>
                                <w:szCs w:val="20"/>
                                <w:lang w:val="en-US"/>
                              </w:rPr>
                              <w:t xml:space="preserve">All patients on immunoglobulin products must be regularly reviewed by a doctor. Depending on your diagnosis the immunoglobulin treatment may only be required for a limited amount of time. If you are prescribed continuing immunoglobulin treatment, regular consultations with your doctor help measure how the treatment is affecting your health, any dose adjustments to be made, and any side effects to be reported. </w:t>
                            </w:r>
                          </w:p>
                          <w:p w:rsidR="00696BB9" w:rsidRPr="00696BB9" w:rsidRDefault="00696BB9" w:rsidP="00E54C98">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696BB9">
                              <w:rPr>
                                <w:rFonts w:ascii="TitilliumText25L" w:eastAsiaTheme="minorHAnsi" w:hAnsi="TitilliumText25L" w:cs="TitilliumText25L"/>
                                <w:color w:val="000000"/>
                                <w:sz w:val="20"/>
                                <w:szCs w:val="20"/>
                                <w:lang w:val="en-US"/>
                              </w:rPr>
                              <w:t xml:space="preserve">Your doctor will assess your response to the treatment and may stop your infusions temporarily to reassess your immune system or your response to treatment. Immunoglobulin treatment may not be effective and may no longer be required. Your doctor will advise you of when the reviews should be carried out. </w:t>
                            </w:r>
                          </w:p>
                          <w:p w:rsidR="00B76111" w:rsidRDefault="00696BB9" w:rsidP="00E54C98">
                            <w:pPr>
                              <w:spacing w:after="0"/>
                              <w:ind w:right="-80"/>
                              <w:rPr>
                                <w:rFonts w:ascii="TitilliumText25L" w:eastAsiaTheme="minorHAnsi" w:hAnsi="TitilliumText25L" w:cs="TitilliumText25L"/>
                                <w:color w:val="000000"/>
                                <w:sz w:val="20"/>
                                <w:szCs w:val="20"/>
                                <w:lang w:val="en-US"/>
                              </w:rPr>
                            </w:pPr>
                            <w:r w:rsidRPr="00696BB9">
                              <w:rPr>
                                <w:rFonts w:ascii="TitilliumText25L" w:eastAsiaTheme="minorHAnsi" w:hAnsi="TitilliumText25L" w:cs="TitilliumText25L"/>
                                <w:color w:val="000000"/>
                                <w:sz w:val="20"/>
                                <w:szCs w:val="20"/>
                                <w:lang w:val="en-US"/>
                              </w:rPr>
                              <w:t>Your doctor will also be required to periodically report on your response to treatment for you to continue to access immunoglobulin</w:t>
                            </w:r>
                            <w:r w:rsidR="00E023B1">
                              <w:rPr>
                                <w:rFonts w:ascii="TitilliumText25L" w:eastAsiaTheme="minorHAnsi" w:hAnsi="TitilliumText25L" w:cs="TitilliumText25L"/>
                                <w:color w:val="000000"/>
                                <w:sz w:val="20"/>
                                <w:szCs w:val="20"/>
                                <w:lang w:val="en-US"/>
                              </w:rPr>
                              <w:t xml:space="preserve"> funded under the national blood arrangements</w:t>
                            </w:r>
                            <w:r w:rsidRPr="00696BB9">
                              <w:rPr>
                                <w:rFonts w:ascii="TitilliumText25L" w:eastAsiaTheme="minorHAnsi" w:hAnsi="TitilliumText25L" w:cs="TitilliumText25L"/>
                                <w:color w:val="000000"/>
                                <w:sz w:val="20"/>
                                <w:szCs w:val="20"/>
                                <w:lang w:val="en-US"/>
                              </w:rPr>
                              <w:t>.</w:t>
                            </w:r>
                          </w:p>
                          <w:p w:rsidR="00F50AB5" w:rsidRDefault="00F50AB5" w:rsidP="00F50AB5">
                            <w:pPr>
                              <w:spacing w:after="0"/>
                              <w:ind w:right="-80"/>
                              <w:rPr>
                                <w:rFonts w:ascii="Times New Roman" w:eastAsia="Times New Roman" w:hAnsi="Times New Roman" w:cs="Times New Roman"/>
                                <w:noProof/>
                                <w:sz w:val="20"/>
                                <w:szCs w:val="20"/>
                                <w:lang w:eastAsia="en-AU"/>
                              </w:rPr>
                            </w:pPr>
                          </w:p>
                          <w:p w:rsidR="00F50AB5" w:rsidRDefault="00F50AB5" w:rsidP="00F50AB5">
                            <w:pPr>
                              <w:spacing w:after="0"/>
                              <w:ind w:right="-80"/>
                              <w:rPr>
                                <w:rFonts w:ascii="Times New Roman" w:eastAsia="Times New Roman" w:hAnsi="Times New Roman" w:cs="Times New Roman"/>
                                <w:noProof/>
                                <w:sz w:val="20"/>
                                <w:szCs w:val="20"/>
                                <w:lang w:eastAsia="en-AU"/>
                              </w:rPr>
                            </w:pPr>
                          </w:p>
                          <w:p w:rsidR="00696BB9" w:rsidRDefault="00696BB9" w:rsidP="00696BB9">
                            <w:pPr>
                              <w:spacing w:after="0"/>
                              <w:ind w:right="-8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AU"/>
                              </w:rPr>
                              <w:drawing>
                                <wp:inline distT="0" distB="0" distL="0" distR="0">
                                  <wp:extent cx="2590800" cy="182830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2143395_Dr consul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9744" cy="1827557"/>
                                          </a:xfrm>
                                          <a:prstGeom prst="rect">
                                            <a:avLst/>
                                          </a:prstGeom>
                                        </pic:spPr>
                                      </pic:pic>
                                    </a:graphicData>
                                  </a:graphic>
                                </wp:inline>
                              </w:drawing>
                            </w:r>
                          </w:p>
                          <w:p w:rsidR="00B76111" w:rsidRDefault="00B76111" w:rsidP="00B76111">
                            <w:pPr>
                              <w:spacing w:before="3" w:after="0" w:line="180" w:lineRule="exact"/>
                              <w:ind w:right="-80"/>
                              <w:rPr>
                                <w:sz w:val="18"/>
                                <w:szCs w:val="18"/>
                              </w:rPr>
                            </w:pPr>
                          </w:p>
                          <w:p w:rsid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p>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Are there alternative treatments?</w:t>
                            </w:r>
                          </w:p>
                          <w:p w:rsidR="00F50AB5" w:rsidRPr="00F50AB5" w:rsidRDefault="00F50AB5" w:rsidP="00E54C98">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There may be other treatments for your condition. Discuss these with your doctor. Stopping treatment without first talking with your doctor can be dangerous.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5pt;margin-top:-67.5pt;width:260.25pt;height:57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" filled="f" stroked="f">
                <v:textbox>
                  <w:txbxContent>
                    <w:p w:rsidR="00696BB9" w:rsidRPr="00696BB9" w:rsidRDefault="00696BB9" w:rsidP="00696BB9">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696BB9">
                        <w:rPr>
                          <w:rFonts w:ascii="TitilliumText25L" w:eastAsiaTheme="minorHAnsi" w:hAnsi="TitilliumText25L" w:cs="TitilliumText25L"/>
                          <w:color w:val="FEA62B"/>
                          <w:sz w:val="24"/>
                          <w:szCs w:val="24"/>
                          <w:lang w:val="en-US"/>
                        </w:rPr>
                        <w:t>Regular Treatment Reviews</w:t>
                      </w:r>
                    </w:p>
                    <w:p w:rsidR="00696BB9" w:rsidRPr="00696BB9" w:rsidRDefault="00696BB9" w:rsidP="00E54C98">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696BB9">
                        <w:rPr>
                          <w:rFonts w:ascii="TitilliumText25L" w:eastAsiaTheme="minorHAnsi" w:hAnsi="TitilliumText25L" w:cs="TitilliumText25L"/>
                          <w:color w:val="000000"/>
                          <w:sz w:val="20"/>
                          <w:szCs w:val="20"/>
                          <w:lang w:val="en-US"/>
                        </w:rPr>
                        <w:t xml:space="preserve">All patients on immunoglobulin products must be regularly reviewed by a doctor. Depending on your diagnosis the immunoglobulin treatment may only be required for a limited amount of time. If you are prescribed continuing immunoglobulin treatment, regular consultations with your doctor help measure how the treatment is affecting your health, any dose adjustments to be made, and any side effects to be reported. </w:t>
                      </w:r>
                    </w:p>
                    <w:p w:rsidR="00696BB9" w:rsidRPr="00696BB9" w:rsidRDefault="00696BB9" w:rsidP="00E54C98">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696BB9">
                        <w:rPr>
                          <w:rFonts w:ascii="TitilliumText25L" w:eastAsiaTheme="minorHAnsi" w:hAnsi="TitilliumText25L" w:cs="TitilliumText25L"/>
                          <w:color w:val="000000"/>
                          <w:sz w:val="20"/>
                          <w:szCs w:val="20"/>
                          <w:lang w:val="en-US"/>
                        </w:rPr>
                        <w:t xml:space="preserve">Your doctor will assess your response to the treatment and may stop your infusions temporarily to reassess your immune system or your response to treatment. Immunoglobulin treatment may not be effective and may no longer be required. Your doctor will advise you of when the reviews should be carried out. </w:t>
                      </w:r>
                    </w:p>
                    <w:p w:rsidR="00B76111" w:rsidRDefault="00696BB9" w:rsidP="00E54C98">
                      <w:pPr>
                        <w:spacing w:after="0"/>
                        <w:ind w:right="-80"/>
                        <w:rPr>
                          <w:rFonts w:ascii="TitilliumText25L" w:eastAsiaTheme="minorHAnsi" w:hAnsi="TitilliumText25L" w:cs="TitilliumText25L"/>
                          <w:color w:val="000000"/>
                          <w:sz w:val="20"/>
                          <w:szCs w:val="20"/>
                          <w:lang w:val="en-US"/>
                        </w:rPr>
                      </w:pPr>
                      <w:r w:rsidRPr="00696BB9">
                        <w:rPr>
                          <w:rFonts w:ascii="TitilliumText25L" w:eastAsiaTheme="minorHAnsi" w:hAnsi="TitilliumText25L" w:cs="TitilliumText25L"/>
                          <w:color w:val="000000"/>
                          <w:sz w:val="20"/>
                          <w:szCs w:val="20"/>
                          <w:lang w:val="en-US"/>
                        </w:rPr>
                        <w:t>Your doctor will also be required to periodically report on your response to treatment for you to continue to access immunoglobulin</w:t>
                      </w:r>
                      <w:r w:rsidR="00E023B1">
                        <w:rPr>
                          <w:rFonts w:ascii="TitilliumText25L" w:eastAsiaTheme="minorHAnsi" w:hAnsi="TitilliumText25L" w:cs="TitilliumText25L"/>
                          <w:color w:val="000000"/>
                          <w:sz w:val="20"/>
                          <w:szCs w:val="20"/>
                          <w:lang w:val="en-US"/>
                        </w:rPr>
                        <w:t xml:space="preserve"> funded under the national blood arrangements</w:t>
                      </w:r>
                      <w:r w:rsidRPr="00696BB9">
                        <w:rPr>
                          <w:rFonts w:ascii="TitilliumText25L" w:eastAsiaTheme="minorHAnsi" w:hAnsi="TitilliumText25L" w:cs="TitilliumText25L"/>
                          <w:color w:val="000000"/>
                          <w:sz w:val="20"/>
                          <w:szCs w:val="20"/>
                          <w:lang w:val="en-US"/>
                        </w:rPr>
                        <w:t>.</w:t>
                      </w:r>
                    </w:p>
                    <w:p w:rsidR="00F50AB5" w:rsidRDefault="00F50AB5" w:rsidP="00F50AB5">
                      <w:pPr>
                        <w:spacing w:after="0"/>
                        <w:ind w:right="-80"/>
                        <w:rPr>
                          <w:rFonts w:ascii="Times New Roman" w:eastAsia="Times New Roman" w:hAnsi="Times New Roman" w:cs="Times New Roman"/>
                          <w:noProof/>
                          <w:sz w:val="20"/>
                          <w:szCs w:val="20"/>
                          <w:lang w:eastAsia="en-AU"/>
                        </w:rPr>
                      </w:pPr>
                    </w:p>
                    <w:p w:rsidR="00F50AB5" w:rsidRDefault="00F50AB5" w:rsidP="00F50AB5">
                      <w:pPr>
                        <w:spacing w:after="0"/>
                        <w:ind w:right="-80"/>
                        <w:rPr>
                          <w:rFonts w:ascii="Times New Roman" w:eastAsia="Times New Roman" w:hAnsi="Times New Roman" w:cs="Times New Roman"/>
                          <w:noProof/>
                          <w:sz w:val="20"/>
                          <w:szCs w:val="20"/>
                          <w:lang w:eastAsia="en-AU"/>
                        </w:rPr>
                      </w:pPr>
                    </w:p>
                    <w:p w:rsidR="00696BB9" w:rsidRDefault="00696BB9" w:rsidP="00696BB9">
                      <w:pPr>
                        <w:spacing w:after="0"/>
                        <w:ind w:right="-8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AU"/>
                        </w:rPr>
                        <w:drawing>
                          <wp:inline distT="0" distB="0" distL="0" distR="0">
                            <wp:extent cx="2590800" cy="182830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2143395_Dr consul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9744" cy="1827557"/>
                                    </a:xfrm>
                                    <a:prstGeom prst="rect">
                                      <a:avLst/>
                                    </a:prstGeom>
                                  </pic:spPr>
                                </pic:pic>
                              </a:graphicData>
                            </a:graphic>
                          </wp:inline>
                        </w:drawing>
                      </w:r>
                    </w:p>
                    <w:p w:rsidR="00B76111" w:rsidRDefault="00B76111" w:rsidP="00B76111">
                      <w:pPr>
                        <w:spacing w:before="3" w:after="0" w:line="180" w:lineRule="exact"/>
                        <w:ind w:right="-80"/>
                        <w:rPr>
                          <w:sz w:val="18"/>
                          <w:szCs w:val="18"/>
                        </w:rPr>
                      </w:pPr>
                    </w:p>
                    <w:p w:rsid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p>
                    <w:p w:rsidR="00F50AB5" w:rsidRPr="00F50AB5" w:rsidRDefault="00F50AB5" w:rsidP="00F50AB5">
                      <w:pPr>
                        <w:autoSpaceDE w:val="0"/>
                        <w:autoSpaceDN w:val="0"/>
                        <w:adjustRightInd w:val="0"/>
                        <w:spacing w:before="57" w:after="28" w:line="288" w:lineRule="auto"/>
                        <w:jc w:val="center"/>
                        <w:textAlignment w:val="center"/>
                        <w:rPr>
                          <w:rFonts w:ascii="TitilliumText25L" w:eastAsiaTheme="minorHAnsi" w:hAnsi="TitilliumText25L" w:cs="TitilliumText25L"/>
                          <w:color w:val="FEA62B"/>
                          <w:sz w:val="24"/>
                          <w:szCs w:val="24"/>
                          <w:lang w:val="en-US"/>
                        </w:rPr>
                      </w:pPr>
                      <w:r w:rsidRPr="00F50AB5">
                        <w:rPr>
                          <w:rFonts w:ascii="TitilliumText25L" w:eastAsiaTheme="minorHAnsi" w:hAnsi="TitilliumText25L" w:cs="TitilliumText25L"/>
                          <w:color w:val="FEA62B"/>
                          <w:sz w:val="24"/>
                          <w:szCs w:val="24"/>
                          <w:lang w:val="en-US"/>
                        </w:rPr>
                        <w:t>Are there alternative treatments?</w:t>
                      </w:r>
                    </w:p>
                    <w:p w:rsidR="00F50AB5" w:rsidRPr="00F50AB5" w:rsidRDefault="00F50AB5" w:rsidP="00E54C98">
                      <w:pPr>
                        <w:suppressAutoHyphens/>
                        <w:autoSpaceDE w:val="0"/>
                        <w:autoSpaceDN w:val="0"/>
                        <w:adjustRightInd w:val="0"/>
                        <w:spacing w:before="85" w:after="0"/>
                        <w:textAlignment w:val="center"/>
                        <w:rPr>
                          <w:rFonts w:ascii="TitilliumText25L" w:eastAsiaTheme="minorHAnsi" w:hAnsi="TitilliumText25L" w:cs="TitilliumText25L"/>
                          <w:color w:val="000000"/>
                          <w:sz w:val="20"/>
                          <w:szCs w:val="20"/>
                          <w:lang w:val="en-US"/>
                        </w:rPr>
                      </w:pPr>
                      <w:r w:rsidRPr="00F50AB5">
                        <w:rPr>
                          <w:rFonts w:ascii="TitilliumText25L" w:eastAsiaTheme="minorHAnsi" w:hAnsi="TitilliumText25L" w:cs="TitilliumText25L"/>
                          <w:color w:val="000000"/>
                          <w:sz w:val="20"/>
                          <w:szCs w:val="20"/>
                          <w:lang w:val="en-US"/>
                        </w:rPr>
                        <w:t>There may be other treatments for your condition. Discuss these with your doctor. Stopping treatment without first talking with your doctor can be dangerous.</w:t>
                      </w:r>
                    </w:p>
                  </w:txbxContent>
                </v:textbox>
              </v:shape>
            </w:pict>
          </mc:Fallback>
        </mc:AlternateContent>
      </w:r>
    </w:p>
    <w:sectPr w:rsidR="00B3726E" w:rsidRPr="00184BA5" w:rsidSect="00184BA5">
      <w:footerReference w:type="default" r:id="rId19"/>
      <w:pgSz w:w="16838" w:h="11906" w:orient="landscape"/>
      <w:pgMar w:top="1440" w:right="253" w:bottom="1133" w:left="426" w:header="708" w:footer="708" w:gutter="0"/>
      <w:cols w:num="3"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BA5" w:rsidRDefault="00184BA5" w:rsidP="00856708">
      <w:pPr>
        <w:spacing w:after="0"/>
      </w:pPr>
      <w:r>
        <w:separator/>
      </w:r>
    </w:p>
  </w:endnote>
  <w:endnote w:type="continuationSeparator" w:id="0">
    <w:p w:rsidR="00184BA5" w:rsidRDefault="00184BA5"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tilliumText25L">
    <w:panose1 w:val="02000000000000000000"/>
    <w:charset w:val="00"/>
    <w:family w:val="modern"/>
    <w:notTrueType/>
    <w:pitch w:val="variable"/>
    <w:sig w:usb0="A00000EF"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08" w:rsidRPr="00856708" w:rsidRDefault="00856708" w:rsidP="00856708">
    <w:pPr>
      <w:pStyle w:val="Footer"/>
      <w:tabs>
        <w:tab w:val="clear" w:pos="9026"/>
        <w:tab w:val="right" w:pos="9356"/>
      </w:tabs>
      <w:rPr>
        <w:sz w:val="20"/>
        <w:szCs w:val="20"/>
      </w:rPr>
    </w:pPr>
    <w:r w:rsidRPr="00856708">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BA5" w:rsidRDefault="00184BA5" w:rsidP="00856708">
      <w:pPr>
        <w:spacing w:after="0"/>
      </w:pPr>
      <w:r>
        <w:separator/>
      </w:r>
    </w:p>
  </w:footnote>
  <w:footnote w:type="continuationSeparator" w:id="0">
    <w:p w:rsidR="00184BA5" w:rsidRDefault="00184BA5" w:rsidP="0085670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3FB4"/>
    <w:multiLevelType w:val="hybridMultilevel"/>
    <w:tmpl w:val="56DCA8C6"/>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3C7508"/>
    <w:multiLevelType w:val="hybridMultilevel"/>
    <w:tmpl w:val="9C26E7F0"/>
    <w:lvl w:ilvl="0" w:tplc="7ACECA44">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137AEC"/>
    <w:multiLevelType w:val="hybridMultilevel"/>
    <w:tmpl w:val="1A7A1320"/>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E12ED0"/>
    <w:multiLevelType w:val="hybridMultilevel"/>
    <w:tmpl w:val="155A6F54"/>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7D45346"/>
    <w:multiLevelType w:val="hybridMultilevel"/>
    <w:tmpl w:val="F6941024"/>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295375"/>
    <w:multiLevelType w:val="hybridMultilevel"/>
    <w:tmpl w:val="F888029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689159F"/>
    <w:multiLevelType w:val="hybridMultilevel"/>
    <w:tmpl w:val="58B81F0A"/>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1B26C4"/>
    <w:multiLevelType w:val="hybridMultilevel"/>
    <w:tmpl w:val="C55857CC"/>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077A9D"/>
    <w:multiLevelType w:val="hybridMultilevel"/>
    <w:tmpl w:val="3B72036C"/>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0C701BA"/>
    <w:multiLevelType w:val="hybridMultilevel"/>
    <w:tmpl w:val="C1382976"/>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9326236"/>
    <w:multiLevelType w:val="hybridMultilevel"/>
    <w:tmpl w:val="FDE01E20"/>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F390D0E"/>
    <w:multiLevelType w:val="hybridMultilevel"/>
    <w:tmpl w:val="2DDCA810"/>
    <w:lvl w:ilvl="0" w:tplc="7ACECA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0"/>
  </w:num>
  <w:num w:numId="4">
    <w:abstractNumId w:val="14"/>
  </w:num>
  <w:num w:numId="5">
    <w:abstractNumId w:val="7"/>
  </w:num>
  <w:num w:numId="6">
    <w:abstractNumId w:val="1"/>
  </w:num>
  <w:num w:numId="7">
    <w:abstractNumId w:val="2"/>
  </w:num>
  <w:num w:numId="8">
    <w:abstractNumId w:val="15"/>
  </w:num>
  <w:num w:numId="9">
    <w:abstractNumId w:val="11"/>
  </w:num>
  <w:num w:numId="10">
    <w:abstractNumId w:val="13"/>
  </w:num>
  <w:num w:numId="11">
    <w:abstractNumId w:val="0"/>
  </w:num>
  <w:num w:numId="12">
    <w:abstractNumId w:val="6"/>
  </w:num>
  <w:num w:numId="13">
    <w:abstractNumId w:val="8"/>
  </w:num>
  <w:num w:numId="14">
    <w:abstractNumId w:val="12"/>
  </w:num>
  <w:num w:numId="15">
    <w:abstractNumId w:val="4"/>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BA5"/>
    <w:rsid w:val="00014719"/>
    <w:rsid w:val="00036EDC"/>
    <w:rsid w:val="000471CD"/>
    <w:rsid w:val="00092D3B"/>
    <w:rsid w:val="000D2C2C"/>
    <w:rsid w:val="00184BA5"/>
    <w:rsid w:val="00197FFD"/>
    <w:rsid w:val="001C56DC"/>
    <w:rsid w:val="002174FC"/>
    <w:rsid w:val="00222B10"/>
    <w:rsid w:val="002537F2"/>
    <w:rsid w:val="00295CD3"/>
    <w:rsid w:val="00357E60"/>
    <w:rsid w:val="00364001"/>
    <w:rsid w:val="003D27F1"/>
    <w:rsid w:val="00493B17"/>
    <w:rsid w:val="004C128A"/>
    <w:rsid w:val="004D4636"/>
    <w:rsid w:val="00540020"/>
    <w:rsid w:val="00666A0B"/>
    <w:rsid w:val="0068546E"/>
    <w:rsid w:val="00696BB9"/>
    <w:rsid w:val="00701EBF"/>
    <w:rsid w:val="00776B7A"/>
    <w:rsid w:val="00856708"/>
    <w:rsid w:val="008604C3"/>
    <w:rsid w:val="00877510"/>
    <w:rsid w:val="0088664A"/>
    <w:rsid w:val="00893E0A"/>
    <w:rsid w:val="00951B85"/>
    <w:rsid w:val="009843DE"/>
    <w:rsid w:val="009E38CC"/>
    <w:rsid w:val="009F4F07"/>
    <w:rsid w:val="00A32D76"/>
    <w:rsid w:val="00B25F22"/>
    <w:rsid w:val="00B34222"/>
    <w:rsid w:val="00B3726E"/>
    <w:rsid w:val="00B76111"/>
    <w:rsid w:val="00B928BE"/>
    <w:rsid w:val="00C25FCD"/>
    <w:rsid w:val="00D00244"/>
    <w:rsid w:val="00DF174C"/>
    <w:rsid w:val="00E023B1"/>
    <w:rsid w:val="00E54C98"/>
    <w:rsid w:val="00F50AB5"/>
    <w:rsid w:val="00FC27F4"/>
    <w:rsid w:val="00FD5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BA5"/>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184B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BA5"/>
    <w:rPr>
      <w:rFonts w:ascii="Tahoma" w:eastAsia="Dotum" w:hAnsi="Tahoma" w:cs="Tahoma"/>
      <w:sz w:val="16"/>
      <w:szCs w:val="16"/>
    </w:rPr>
  </w:style>
  <w:style w:type="character" w:styleId="Hyperlink">
    <w:name w:val="Hyperlink"/>
    <w:basedOn w:val="DefaultParagraphFont"/>
    <w:uiPriority w:val="99"/>
    <w:unhideWhenUsed/>
    <w:rsid w:val="00B34222"/>
    <w:rPr>
      <w:color w:val="0000FF" w:themeColor="hyperlink"/>
      <w:u w:val="single"/>
    </w:rPr>
  </w:style>
  <w:style w:type="paragraph" w:styleId="BodyText">
    <w:name w:val="Body Text"/>
    <w:basedOn w:val="Normal"/>
    <w:link w:val="BodyTextChar"/>
    <w:uiPriority w:val="99"/>
    <w:rsid w:val="00B928BE"/>
    <w:pPr>
      <w:suppressAutoHyphens/>
      <w:autoSpaceDE w:val="0"/>
      <w:autoSpaceDN w:val="0"/>
      <w:adjustRightInd w:val="0"/>
      <w:spacing w:before="85" w:after="0" w:line="288" w:lineRule="auto"/>
      <w:textAlignment w:val="center"/>
    </w:pPr>
    <w:rPr>
      <w:rFonts w:ascii="TitilliumText25L" w:eastAsiaTheme="minorHAnsi" w:hAnsi="TitilliumText25L" w:cs="TitilliumText25L"/>
      <w:color w:val="000000"/>
      <w:sz w:val="20"/>
      <w:szCs w:val="20"/>
      <w:lang w:val="en-US"/>
    </w:rPr>
  </w:style>
  <w:style w:type="character" w:customStyle="1" w:styleId="BodyTextChar">
    <w:name w:val="Body Text Char"/>
    <w:basedOn w:val="DefaultParagraphFont"/>
    <w:link w:val="BodyText"/>
    <w:uiPriority w:val="99"/>
    <w:rsid w:val="00B928BE"/>
    <w:rPr>
      <w:rFonts w:ascii="TitilliumText25L" w:hAnsi="TitilliumText25L" w:cs="TitilliumText25L"/>
      <w:color w:val="000000"/>
      <w:sz w:val="20"/>
      <w:szCs w:val="20"/>
      <w:lang w:val="en-US"/>
    </w:rPr>
  </w:style>
  <w:style w:type="paragraph" w:customStyle="1" w:styleId="ReferenceText">
    <w:name w:val="Reference Text"/>
    <w:basedOn w:val="Normal"/>
    <w:uiPriority w:val="99"/>
    <w:rsid w:val="00696BB9"/>
    <w:pPr>
      <w:autoSpaceDE w:val="0"/>
      <w:autoSpaceDN w:val="0"/>
      <w:adjustRightInd w:val="0"/>
      <w:spacing w:after="0" w:line="288" w:lineRule="auto"/>
      <w:textAlignment w:val="center"/>
    </w:pPr>
    <w:rPr>
      <w:rFonts w:ascii="TitilliumText25L" w:eastAsiaTheme="minorHAnsi" w:hAnsi="TitilliumText25L" w:cs="TitilliumText25L"/>
      <w:color w:val="000000"/>
      <w:sz w:val="14"/>
      <w:szCs w:val="14"/>
      <w:lang w:val="en-US"/>
    </w:rPr>
  </w:style>
  <w:style w:type="paragraph" w:customStyle="1" w:styleId="Headertext">
    <w:name w:val="Header text"/>
    <w:basedOn w:val="Normal"/>
    <w:uiPriority w:val="99"/>
    <w:rsid w:val="00696BB9"/>
    <w:pPr>
      <w:autoSpaceDE w:val="0"/>
      <w:autoSpaceDN w:val="0"/>
      <w:adjustRightInd w:val="0"/>
      <w:spacing w:before="57" w:after="28" w:line="288" w:lineRule="auto"/>
      <w:jc w:val="center"/>
      <w:textAlignment w:val="center"/>
    </w:pPr>
    <w:rPr>
      <w:rFonts w:ascii="TitilliumText25L" w:eastAsiaTheme="minorHAnsi" w:hAnsi="TitilliumText25L" w:cs="TitilliumText25L"/>
      <w:color w:val="FEA62B"/>
      <w:sz w:val="24"/>
      <w:szCs w:val="24"/>
      <w:lang w:val="en-US"/>
    </w:rPr>
  </w:style>
  <w:style w:type="paragraph" w:customStyle="1" w:styleId="Bulletpoints">
    <w:name w:val="Bullet points"/>
    <w:basedOn w:val="BodyText"/>
    <w:uiPriority w:val="99"/>
    <w:rsid w:val="00F50AB5"/>
    <w:pPr>
      <w:spacing w:before="57"/>
      <w:ind w:left="3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BA5"/>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184B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BA5"/>
    <w:rPr>
      <w:rFonts w:ascii="Tahoma" w:eastAsia="Dotum" w:hAnsi="Tahoma" w:cs="Tahoma"/>
      <w:sz w:val="16"/>
      <w:szCs w:val="16"/>
    </w:rPr>
  </w:style>
  <w:style w:type="character" w:styleId="Hyperlink">
    <w:name w:val="Hyperlink"/>
    <w:basedOn w:val="DefaultParagraphFont"/>
    <w:uiPriority w:val="99"/>
    <w:unhideWhenUsed/>
    <w:rsid w:val="00B34222"/>
    <w:rPr>
      <w:color w:val="0000FF" w:themeColor="hyperlink"/>
      <w:u w:val="single"/>
    </w:rPr>
  </w:style>
  <w:style w:type="paragraph" w:styleId="BodyText">
    <w:name w:val="Body Text"/>
    <w:basedOn w:val="Normal"/>
    <w:link w:val="BodyTextChar"/>
    <w:uiPriority w:val="99"/>
    <w:rsid w:val="00B928BE"/>
    <w:pPr>
      <w:suppressAutoHyphens/>
      <w:autoSpaceDE w:val="0"/>
      <w:autoSpaceDN w:val="0"/>
      <w:adjustRightInd w:val="0"/>
      <w:spacing w:before="85" w:after="0" w:line="288" w:lineRule="auto"/>
      <w:textAlignment w:val="center"/>
    </w:pPr>
    <w:rPr>
      <w:rFonts w:ascii="TitilliumText25L" w:eastAsiaTheme="minorHAnsi" w:hAnsi="TitilliumText25L" w:cs="TitilliumText25L"/>
      <w:color w:val="000000"/>
      <w:sz w:val="20"/>
      <w:szCs w:val="20"/>
      <w:lang w:val="en-US"/>
    </w:rPr>
  </w:style>
  <w:style w:type="character" w:customStyle="1" w:styleId="BodyTextChar">
    <w:name w:val="Body Text Char"/>
    <w:basedOn w:val="DefaultParagraphFont"/>
    <w:link w:val="BodyText"/>
    <w:uiPriority w:val="99"/>
    <w:rsid w:val="00B928BE"/>
    <w:rPr>
      <w:rFonts w:ascii="TitilliumText25L" w:hAnsi="TitilliumText25L" w:cs="TitilliumText25L"/>
      <w:color w:val="000000"/>
      <w:sz w:val="20"/>
      <w:szCs w:val="20"/>
      <w:lang w:val="en-US"/>
    </w:rPr>
  </w:style>
  <w:style w:type="paragraph" w:customStyle="1" w:styleId="ReferenceText">
    <w:name w:val="Reference Text"/>
    <w:basedOn w:val="Normal"/>
    <w:uiPriority w:val="99"/>
    <w:rsid w:val="00696BB9"/>
    <w:pPr>
      <w:autoSpaceDE w:val="0"/>
      <w:autoSpaceDN w:val="0"/>
      <w:adjustRightInd w:val="0"/>
      <w:spacing w:after="0" w:line="288" w:lineRule="auto"/>
      <w:textAlignment w:val="center"/>
    </w:pPr>
    <w:rPr>
      <w:rFonts w:ascii="TitilliumText25L" w:eastAsiaTheme="minorHAnsi" w:hAnsi="TitilliumText25L" w:cs="TitilliumText25L"/>
      <w:color w:val="000000"/>
      <w:sz w:val="14"/>
      <w:szCs w:val="14"/>
      <w:lang w:val="en-US"/>
    </w:rPr>
  </w:style>
  <w:style w:type="paragraph" w:customStyle="1" w:styleId="Headertext">
    <w:name w:val="Header text"/>
    <w:basedOn w:val="Normal"/>
    <w:uiPriority w:val="99"/>
    <w:rsid w:val="00696BB9"/>
    <w:pPr>
      <w:autoSpaceDE w:val="0"/>
      <w:autoSpaceDN w:val="0"/>
      <w:adjustRightInd w:val="0"/>
      <w:spacing w:before="57" w:after="28" w:line="288" w:lineRule="auto"/>
      <w:jc w:val="center"/>
      <w:textAlignment w:val="center"/>
    </w:pPr>
    <w:rPr>
      <w:rFonts w:ascii="TitilliumText25L" w:eastAsiaTheme="minorHAnsi" w:hAnsi="TitilliumText25L" w:cs="TitilliumText25L"/>
      <w:color w:val="FEA62B"/>
      <w:sz w:val="24"/>
      <w:szCs w:val="24"/>
      <w:lang w:val="en-US"/>
    </w:rPr>
  </w:style>
  <w:style w:type="paragraph" w:customStyle="1" w:styleId="Bulletpoints">
    <w:name w:val="Bullet points"/>
    <w:basedOn w:val="BodyText"/>
    <w:uiPriority w:val="99"/>
    <w:rsid w:val="00F50AB5"/>
    <w:pPr>
      <w:spacing w:before="57"/>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BRINTFS01.nba.local\Graphics\Publications\2014\Immunoglobulin%20Governance\Tri%20fold%20Brochure\www.blood.gov.au"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BRINTFS01.nba.local\Graphics\Publications\2014\Immunoglobulin%20Governance\Tri%20fold%20Brochure\www.nhmrc.gov.a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file:///\\CBRINTFS01.nba.local\Graphics\Publications\2014\Immunoglobulin%20Governance\Tri%20fold%20Brochure\www.blood.gov.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BRINTFS01.nba.local\Graphics\Publications\2014\Immunoglobulin%20Governance\Tri%20fold%20Brochure\www.nhmr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Rennay</dc:creator>
  <cp:lastModifiedBy>Administrator</cp:lastModifiedBy>
  <cp:revision>3</cp:revision>
  <cp:lastPrinted>2014-12-12T00:16:00Z</cp:lastPrinted>
  <dcterms:created xsi:type="dcterms:W3CDTF">2016-03-08T03:45:00Z</dcterms:created>
  <dcterms:modified xsi:type="dcterms:W3CDTF">2016-03-08T03:49:00Z</dcterms:modified>
</cp:coreProperties>
</file>