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713" w:rsidRDefault="00154BFC" w:rsidP="009960EE">
      <w:pPr>
        <w:rPr>
          <w:kern w:val="28"/>
        </w:rPr>
      </w:pPr>
      <w:r>
        <w:rPr>
          <w:noProof/>
          <w:lang w:eastAsia="en-AU"/>
        </w:rPr>
        <w:drawing>
          <wp:anchor distT="0" distB="0" distL="114300" distR="114300" simplePos="0" relativeHeight="251695104" behindDoc="1" locked="0" layoutInCell="1" allowOverlap="1" wp14:anchorId="4F9AFF2D" wp14:editId="083C49BA">
            <wp:simplePos x="0" y="0"/>
            <wp:positionH relativeFrom="column">
              <wp:posOffset>-685800</wp:posOffset>
            </wp:positionH>
            <wp:positionV relativeFrom="paragraph">
              <wp:posOffset>-803910</wp:posOffset>
            </wp:positionV>
            <wp:extent cx="7559675" cy="1068959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214 Background - Report - Inventor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rsidR="00C12F7E" w:rsidRPr="00154BFC" w:rsidRDefault="00C12F7E" w:rsidP="00605034">
      <w:pPr>
        <w:pStyle w:val="Title"/>
        <w:spacing w:before="1440" w:after="360"/>
      </w:pPr>
      <w:r w:rsidRPr="00D163F9">
        <w:t xml:space="preserve">National </w:t>
      </w:r>
      <w:r w:rsidR="00180F43">
        <w:t xml:space="preserve">PATIENT BLOOD MANAGEMENT </w:t>
      </w:r>
      <w:r w:rsidR="009C1D44">
        <w:t xml:space="preserve">GUIDELINES </w:t>
      </w:r>
      <w:r w:rsidR="00180F43">
        <w:t>IMPLEMENTATION</w:t>
      </w:r>
      <w:r w:rsidRPr="00D163F9">
        <w:t xml:space="preserve"> </w:t>
      </w:r>
      <w:r>
        <w:br/>
      </w:r>
      <w:r w:rsidRPr="00D163F9">
        <w:t>STRATEGY</w:t>
      </w:r>
      <w:r>
        <w:t xml:space="preserve"> </w:t>
      </w:r>
      <w:r w:rsidRPr="00154BFC">
        <w:t>2013-2017</w:t>
      </w:r>
    </w:p>
    <w:p w:rsidR="004876B5" w:rsidRDefault="009C1D44" w:rsidP="00605034">
      <w:pPr>
        <w:pStyle w:val="Subtitle"/>
        <w:spacing w:before="600"/>
        <w:rPr>
          <w:i/>
        </w:rPr>
      </w:pPr>
      <w:r>
        <w:rPr>
          <w:i/>
        </w:rPr>
        <w:t>Better Management of Patient</w:t>
      </w:r>
      <w:r w:rsidR="005A77A9">
        <w:rPr>
          <w:i/>
        </w:rPr>
        <w:t>s’</w:t>
      </w:r>
      <w:r>
        <w:rPr>
          <w:i/>
        </w:rPr>
        <w:t xml:space="preserve"> Blood</w:t>
      </w:r>
      <w:r w:rsidR="00736313">
        <w:rPr>
          <w:i/>
        </w:rPr>
        <w:t xml:space="preserve"> </w:t>
      </w:r>
      <w:r w:rsidR="004876B5">
        <w:rPr>
          <w:i/>
        </w:rPr>
        <w:t>…</w:t>
      </w:r>
      <w:r w:rsidR="00736313">
        <w:rPr>
          <w:i/>
        </w:rPr>
        <w:t xml:space="preserve"> </w:t>
      </w:r>
    </w:p>
    <w:p w:rsidR="00C12F7E" w:rsidRPr="002025E2" w:rsidRDefault="00736313" w:rsidP="00605034">
      <w:pPr>
        <w:pStyle w:val="Subtitle"/>
        <w:spacing w:before="600"/>
        <w:rPr>
          <w:i/>
        </w:rPr>
      </w:pPr>
      <w:r>
        <w:rPr>
          <w:i/>
        </w:rPr>
        <w:t>Better Patient Outcomes</w:t>
      </w:r>
    </w:p>
    <w:p w:rsidR="00C12F7E" w:rsidRDefault="00F03972" w:rsidP="004F7498">
      <w:pPr>
        <w:pStyle w:val="Title"/>
        <w:rPr>
          <w:bCs/>
          <w:color w:val="FFFFFF" w:themeColor="background1"/>
        </w:rPr>
      </w:pPr>
      <w:r>
        <w:br w:type="page"/>
      </w:r>
      <w:bookmarkStart w:id="0" w:name="_Toc343260139"/>
    </w:p>
    <w:bookmarkEnd w:id="0"/>
    <w:p w:rsidR="00605034" w:rsidRDefault="00605034">
      <w:pPr>
        <w:spacing w:after="0"/>
      </w:pPr>
      <w:r>
        <w:lastRenderedPageBreak/>
        <w:br w:type="page"/>
      </w:r>
    </w:p>
    <w:p w:rsidR="00192D63" w:rsidRPr="00922E79" w:rsidRDefault="006A351A" w:rsidP="00605034">
      <w:pPr>
        <w:pStyle w:val="Heading1"/>
        <w:spacing w:before="360"/>
        <w:ind w:right="6"/>
      </w:pPr>
      <w:r>
        <w:lastRenderedPageBreak/>
        <w:t>Introduction</w:t>
      </w:r>
    </w:p>
    <w:p w:rsidR="00192D63" w:rsidRPr="004940C7" w:rsidRDefault="00192D63" w:rsidP="00FD0DC2">
      <w:r w:rsidRPr="004940C7">
        <w:t>Blood and blood products are used in hospitals across Australia every day to save lives. This unique gift of life is facilitated by the generosity of voluntary blood donors and funded by Australian governments who invest over $1.1 billion per annum in processing, procuring and distributing these products through the Australian Red Cross Blood Service (Blood Service) and other suppliers to health providers.</w:t>
      </w:r>
      <w:r w:rsidRPr="004940C7" w:rsidDel="00656700">
        <w:t xml:space="preserve"> </w:t>
      </w:r>
    </w:p>
    <w:p w:rsidR="00284B65" w:rsidRPr="004940C7" w:rsidRDefault="00180F43" w:rsidP="00FD0DC2">
      <w:r w:rsidRPr="004940C7">
        <w:t xml:space="preserve">Although blood and blood products remain </w:t>
      </w:r>
      <w:r w:rsidR="00284B65" w:rsidRPr="004940C7">
        <w:t>a critical element of clinical practice</w:t>
      </w:r>
      <w:r w:rsidR="00A20EFC">
        <w:t xml:space="preserve">, there is increasing evidence </w:t>
      </w:r>
      <w:r w:rsidRPr="004940C7">
        <w:t xml:space="preserve">that </w:t>
      </w:r>
      <w:r w:rsidR="00284B65" w:rsidRPr="004940C7">
        <w:t>there are risks to patients from allogeneic blood transfusions and that a significant proportion of transfusions are unnecessary</w:t>
      </w:r>
      <w:r w:rsidR="00A20EFC">
        <w:t xml:space="preserve"> or could have been avoided</w:t>
      </w:r>
      <w:r w:rsidR="00284B65" w:rsidRPr="004940C7">
        <w:t xml:space="preserve">. Allogeneic transfusions can be associated with adverse patient outcomes potentially leading to </w:t>
      </w:r>
      <w:r w:rsidR="00A20EFC">
        <w:t xml:space="preserve">increased morbidity resulting in delayed recovery or </w:t>
      </w:r>
      <w:r w:rsidR="00284B65" w:rsidRPr="004940C7">
        <w:t>extended hospital stay</w:t>
      </w:r>
      <w:r w:rsidR="00A20EFC">
        <w:t>s</w:t>
      </w:r>
      <w:r w:rsidR="00284B65" w:rsidRPr="004940C7">
        <w:t xml:space="preserve"> and increased levels of mortality.</w:t>
      </w:r>
      <w:r w:rsidR="00C754F9">
        <w:t xml:space="preserve"> Introduction of patient blood m</w:t>
      </w:r>
      <w:r w:rsidR="003711D5">
        <w:t xml:space="preserve">anagement (PBM) </w:t>
      </w:r>
      <w:r w:rsidR="00A20EFC">
        <w:t>can minimise</w:t>
      </w:r>
      <w:r w:rsidR="003711D5">
        <w:t xml:space="preserve"> these risks. </w:t>
      </w:r>
    </w:p>
    <w:p w:rsidR="00F70E4F" w:rsidRPr="004940C7" w:rsidRDefault="009C1D44" w:rsidP="00FD0DC2">
      <w:r w:rsidRPr="004940C7">
        <w:t xml:space="preserve">PBM is a term that has emerged in recent years to describe a range of medical and surgical strategies that aim </w:t>
      </w:r>
      <w:r w:rsidR="007D0CB8">
        <w:t>conserve and optimise the patient’s own blood which in turn helps to</w:t>
      </w:r>
      <w:r w:rsidRPr="004940C7">
        <w:t xml:space="preserve"> avoid or reduc</w:t>
      </w:r>
      <w:r w:rsidR="007D0CB8">
        <w:t>e</w:t>
      </w:r>
      <w:r w:rsidRPr="004940C7">
        <w:t xml:space="preserve"> the need for allogeneic transfusion.  It is a patient-centred approach that </w:t>
      </w:r>
      <w:r w:rsidR="00F70E4F" w:rsidRPr="004940C7">
        <w:t>aims to improve clinical outcomes by avoiding unnecessary exposure to blood components. It includes the three pillars of:</w:t>
      </w:r>
    </w:p>
    <w:p w:rsidR="00F70E4F" w:rsidRPr="00256908" w:rsidRDefault="00C754F9" w:rsidP="00256908">
      <w:pPr>
        <w:pStyle w:val="ListParagraph"/>
        <w:numPr>
          <w:ilvl w:val="0"/>
          <w:numId w:val="36"/>
        </w:numPr>
      </w:pPr>
      <w:r>
        <w:t>o</w:t>
      </w:r>
      <w:r w:rsidR="00F70E4F" w:rsidRPr="00256908">
        <w:t>ptimisation of blood volume and red cell mass</w:t>
      </w:r>
    </w:p>
    <w:p w:rsidR="00F70E4F" w:rsidRPr="00256908" w:rsidRDefault="00C754F9" w:rsidP="00256908">
      <w:pPr>
        <w:pStyle w:val="ListParagraph"/>
        <w:numPr>
          <w:ilvl w:val="0"/>
          <w:numId w:val="36"/>
        </w:numPr>
      </w:pPr>
      <w:r>
        <w:t>m</w:t>
      </w:r>
      <w:r w:rsidR="00F70E4F" w:rsidRPr="00256908">
        <w:t>inimisation of blood loss</w:t>
      </w:r>
    </w:p>
    <w:p w:rsidR="00F70E4F" w:rsidRPr="00256908" w:rsidRDefault="00C754F9" w:rsidP="00256908">
      <w:pPr>
        <w:pStyle w:val="ListParagraph"/>
        <w:numPr>
          <w:ilvl w:val="0"/>
          <w:numId w:val="36"/>
        </w:numPr>
      </w:pPr>
      <w:proofErr w:type="gramStart"/>
      <w:r>
        <w:t>o</w:t>
      </w:r>
      <w:r w:rsidR="00F70E4F" w:rsidRPr="00256908">
        <w:t>ptimisation</w:t>
      </w:r>
      <w:proofErr w:type="gramEnd"/>
      <w:r w:rsidR="00F70E4F" w:rsidRPr="00256908">
        <w:t xml:space="preserve"> of the patient’s tolerance of anaemia.</w:t>
      </w:r>
    </w:p>
    <w:p w:rsidR="00C04608" w:rsidRDefault="00B361E4" w:rsidP="00FD0DC2">
      <w:r>
        <w:t xml:space="preserve">Adoption of </w:t>
      </w:r>
      <w:r w:rsidR="00B31DAB">
        <w:t xml:space="preserve">a </w:t>
      </w:r>
      <w:r w:rsidR="00061A03">
        <w:t xml:space="preserve">multidisciplinary, coordinated </w:t>
      </w:r>
      <w:r w:rsidR="00B31DAB">
        <w:t xml:space="preserve">approach to </w:t>
      </w:r>
      <w:r w:rsidR="00C754F9">
        <w:t>PBM</w:t>
      </w:r>
      <w:r w:rsidR="00B31DAB">
        <w:t xml:space="preserve"> </w:t>
      </w:r>
      <w:r w:rsidR="00302254">
        <w:t xml:space="preserve"> has </w:t>
      </w:r>
      <w:r w:rsidR="000167F3">
        <w:t xml:space="preserve">been reported to </w:t>
      </w:r>
      <w:r w:rsidR="00302254">
        <w:t>resul</w:t>
      </w:r>
      <w:r w:rsidR="000167F3">
        <w:t xml:space="preserve">t </w:t>
      </w:r>
      <w:r w:rsidR="00302254">
        <w:t xml:space="preserve"> in reductions in red blood cell utilisation</w:t>
      </w:r>
      <w:r w:rsidR="00B31DAB">
        <w:t xml:space="preserve"> (and associated costs), avoidance of transfusion related incidents and adverse events (and associated costs)</w:t>
      </w:r>
      <w:r w:rsidR="00302254">
        <w:t xml:space="preserve"> while achieving equivalent or better patient outcomes</w:t>
      </w:r>
      <w:r w:rsidR="00061A03">
        <w:t xml:space="preserve"> </w:t>
      </w:r>
      <w:r w:rsidR="00D042CA">
        <w:fldChar w:fldCharType="begin" w:fldLock="1"/>
      </w:r>
      <w:r w:rsidR="00D626DF">
        <w:instrText>ADDIN CSL_CITATION { "citationItems" : [ { "id" : "ITEM-1", "itemData" : { "DOI" : "10.1016/j.athoracsur.2008.10.044", "abstract" : "BACKGROUND: Mounting evidence exists for more restrictive blood transfusion practices in patients undergoing cardiac surgery. Few studies, however, have recognized or agree upon a method by which this decrease in allogeneic red blood cell transfusion can be achieved. We will review our methods and experience in a blood conservation initiative from 2003 to 2007. METHODS: A data driven, multidisciplinary effort to decrease allogeneic red blood cell transfusion was instituted in a community hospital. Numerous innovations in treatment protocols were implemented and evaluated. Clinical data from 2003 to 2007 will be presented. Yearly review of outcomes led to an evolving clinical practice and lowered transfusion rates. RESULTS: A total of 2,531 consecutive cardiac surgical procedures were performed during a five-year period. Using a multidisciplinary approach to quality improvement, and with the goal of using fewer blood products, our incidence of allogeneic red blood cell transfusion was decreased, from 43% in 2003 to 18% in 2007. Patient outcomes were not significantly changed. CONCLUSIONS: Cardiac surgery in a community hospital can be performed safely with low utilization of allogeneic red blood cell transfusions. A multidisciplinary approach to blood conservation can result in lower transfusion rates and equivalent patient outcomes.", "author" : [ { "dropping-particle" : "", "family" : "Brevig", "given" : "James", "non-dropping-particle" : "", "parse-names" : false, "suffix" : "" }, { "dropping-particle" : "", "family" : "McDonald", "given" : "Julie", "non-dropping-particle" : "", "parse-names" : false, "suffix" : "" }, { "dropping-particle" : "", "family" : "Zelinka", "given" : "Edy S", "non-dropping-particle" : "", "parse-names" : false, "suffix" : "" }, { "dropping-particle" : "", "family" : "Gallagher", "given" : "Trudi", "non-dropping-particle" : "", "parse-names" : false, "suffix" : "" }, { "dropping-particle" : "", "family" : "Jin", "given" : "Ruyun", "non-dropping-particle" : "", "parse-names" : false, "suffix" : "" }, { "dropping-particle" : "", "family" : "Grunkemeier", "given" : "Gary L", "non-dropping-particle" : "", "parse-names" : false, "suffix" : "" } ], "container-title" : "The Annals of thoracic surgery", "id" : "ITEM-1", "issue" : "2", "issued" : { "date-parts" : [ [ "2009", "2" ] ] }, "page" : "532-539", "title" : "Blood transfusion reduction in cardiac surgery: multidisciplinary approach at a community hospital.", "type" : "article-journal", "volume" : "87" }, "uris" : [ "http://www.mendeley.com/documents/?uuid=878f3270-7602-49bc-aab8-031045399380" ] } ], "mendeley" : { "previouslyFormattedCitation" : "&lt;sup&gt;1&lt;/sup&gt;" }, "properties" : { "noteIndex" : 0 }, "schema" : "https://github.com/citation-style-language/schema/raw/master/csl-citation.json" }</w:instrText>
      </w:r>
      <w:r w:rsidR="00D042CA">
        <w:fldChar w:fldCharType="separate"/>
      </w:r>
      <w:r w:rsidR="00D626DF" w:rsidRPr="00D626DF">
        <w:rPr>
          <w:noProof/>
          <w:vertAlign w:val="superscript"/>
        </w:rPr>
        <w:t>1</w:t>
      </w:r>
      <w:r w:rsidR="00D042CA">
        <w:fldChar w:fldCharType="end"/>
      </w:r>
      <w:r w:rsidR="00D042CA" w:rsidRPr="00D042CA">
        <w:rPr>
          <w:vertAlign w:val="superscript"/>
        </w:rPr>
        <w:t>,</w:t>
      </w:r>
      <w:r w:rsidR="00D042CA">
        <w:fldChar w:fldCharType="begin" w:fldLock="1"/>
      </w:r>
      <w:r w:rsidR="00D626DF">
        <w:instrText>ADDIN CSL_CITATION { "citationItems" : [ { "id" : "ITEM-1", "itemData" : { "DOI" : "10.1111/j.1537-2995.2007.01515.x", "abstract" : "BACKGROUND: The experiences of the development of a provincial program to promote blood conservation are herein reported. STUDY DESIGN AND METHODS: Transfusion coordinators were placed in 23 Ontario hospitals. Anonymized laboratory and clinical information was collected in a defined number of all consecutive patients admitted for three designated procedures: knee arthroplasty, abdominal aortic aneurysm (AAA), and coronary artery bypass graft (CABG) surgery (n approximately 1100, 300, and 300 at each time period, respectively). RESULTS: Considerable interinstitutional variation was observed in the proportion of patients who received transfusions. At 12 months, and over the 24-month period of the project, most hospitals demonstrated decreased use of allogeneic blood; at 12 months an approximate 24 percent reduction in patients undergoing knee surgery, 14 percent in AAA, and 23 percent in CABG was obtained. In addition, patients who received transfusions received less allogeneic blood. Patients who did not receive allogeneic transfusions had lower postoperative infection rates (p &lt; 0.05) and length of stay (p &lt; 0.0001); allogeneic transfusion was an independent predictor of increased length of stay. The main blood conservation measures employed during this time were education, preoperative autologous donation, erythropoietin, and cell salvage. CONCLUSION: The implementation of a provincial network of transfusion coordinators was feasible and allogeneic transfusion rates declined over the period the program has been in place.", "author" : [ { "dropping-particle" : "", "family" : "Freedman", "given" : "John", "non-dropping-particle" : "", "parse-names" : false, "suffix" : "" }, { "dropping-particle" : "", "family" : "Luke", "given" : "Katherine", "non-dropping-particle" : "", "parse-names" : false, "suffix" : "" }, { "dropping-particle" : "", "family" : "Escobar", "given" : "Michael", "non-dropping-particle" : "", "parse-names" : false, "suffix" : "" }, { "dropping-particle" : "", "family" : "Vernich", "given" : "Lee", "non-dropping-particle" : "", "parse-names" : false, "suffix" : "" }, { "dropping-particle" : "", "family" : "Chiavetta", "given" : "Jo Anne", "non-dropping-particle" : "", "parse-names" : false, "suffix" : "" } ], "container-title" : "Transfusion", "id" : "ITEM-1", "issue" : "2", "issued" : { "date-parts" : [ [ "2008", "2" ] ] }, "page" : "237-250", "title" : "Experience of a network of transfusion coordinators for blood conservation (Ontario Transfusion Coordinators [ONTraC]).", "type" : "article-journal", "volume" : "48" }, "uris" : [ "http://www.mendeley.com/documents/?uuid=3e067816-c241-4aa0-9d9b-bacdfe64968f" ] } ], "mendeley" : { "previouslyFormattedCitation" : "&lt;sup&gt;2&lt;/sup&gt;" }, "properties" : { "noteIndex" : 0 }, "schema" : "https://github.com/citation-style-language/schema/raw/master/csl-citation.json" }</w:instrText>
      </w:r>
      <w:r w:rsidR="00D042CA">
        <w:fldChar w:fldCharType="separate"/>
      </w:r>
      <w:r w:rsidR="00D626DF" w:rsidRPr="00D626DF">
        <w:rPr>
          <w:noProof/>
          <w:vertAlign w:val="superscript"/>
        </w:rPr>
        <w:t>2</w:t>
      </w:r>
      <w:r w:rsidR="00D042CA">
        <w:fldChar w:fldCharType="end"/>
      </w:r>
      <w:r w:rsidR="00D042CA">
        <w:t xml:space="preserve"> </w:t>
      </w:r>
      <w:r w:rsidR="00061A03">
        <w:t xml:space="preserve">and </w:t>
      </w:r>
      <w:r w:rsidR="00B31DAB">
        <w:t xml:space="preserve">a substantial </w:t>
      </w:r>
      <w:r w:rsidR="00061A03">
        <w:t>return on investment</w:t>
      </w:r>
      <w:r w:rsidR="00302254">
        <w:t xml:space="preserve"> </w:t>
      </w:r>
      <w:r w:rsidR="00D042CA">
        <w:fldChar w:fldCharType="begin" w:fldLock="1"/>
      </w:r>
      <w:r w:rsidR="00D626DF">
        <w:instrText>ADDIN CSL_CITATION { "citationItems" : [ { "id" : "ITEM-1", "itemData" : { "DOI" : "10.1177/1062860606289784", "abstract" : "The beneficial effects of blood transfusions have been described and widely accepted. Multiple factors, including shortages, costs, infectious risks, immunologic risks, and the risk/benefit ratio to the patient, have made the medical community reassess the guidelines for transfusion. Cardiac surgery presents a unique subset of patients, because intervention at multiple stages in the care of these patients is possible to decrease the need for transfusion. An algorithm for a cardiac surgery program was developed and a reassessment performed. Once it was seen that no detrimental effect on patient care occurred, the program was expanded, was enhanced, and subsequently has been offered to the rest of the health care system. This program has resulted in a decrease in cost while maintaining patient outcomes. The success of the program is believed to be a result of the multidisciplinary approach taken, with a commitment from all members of the blood reduction team being the key component of this success.", "author" : [ { "dropping-particle" : "", "family" : "DeAnda", "given" : "Abe", "non-dropping-particle" : "", "parse-names" : false, "suffix" : "" }, { "dropping-particle" : "", "family" : "Baker", "given" : "Kathy M", "non-dropping-particle" : "", "parse-names" : false, "suffix" : "" }, { "dropping-particle" : "", "family" : "Roseff", "given" : "Susan D", "non-dropping-particle" : "", "parse-names" : false, "suffix" : "" }, { "dropping-particle" : "", "family" : "Green", "given" : "Jeffrey A", "non-dropping-particle" : "", "parse-names" : false, "suffix" : "" }, { "dropping-particle" : "", "family" : "McCarthy", "given" : "Harry", "non-dropping-particle" : "", "parse-names" : false, "suffix" : "" }, { "dropping-particle" : "", "family" : "Aron", "given" : "Tyrone", "non-dropping-particle" : "", "parse-names" : false, "suffix" : "" }, { "dropping-particle" : "", "family" : "Spiess", "given" : "Bruce D", "non-dropping-particle" : "", "parse-names" : false, "suffix" : "" } ], "container-title" : "American journal of medical quality : the official journal of the American College of Medical Quality", "id" : "ITEM-1", "issue" : "4", "issued" : { "date-parts" : [ [ "0" ] ] }, "page" : "230-237", "title" : "Developing a blood conservation program in cardiac surgery.", "type" : "article-journal", "volume" : "21" }, "uris" : [ "http://www.mendeley.com/documents/?uuid=ac81c429-37fd-47bf-9a4a-c6f0331b699a" ] } ], "mendeley" : { "previouslyFormattedCitation" : "&lt;sup&gt;3&lt;/sup&gt;" }, "properties" : { "noteIndex" : 0 }, "schema" : "https://github.com/citation-style-language/schema/raw/master/csl-citation.json" }</w:instrText>
      </w:r>
      <w:r w:rsidR="00D042CA">
        <w:fldChar w:fldCharType="separate"/>
      </w:r>
      <w:r w:rsidR="00D626DF" w:rsidRPr="00D626DF">
        <w:rPr>
          <w:noProof/>
          <w:vertAlign w:val="superscript"/>
        </w:rPr>
        <w:t>3</w:t>
      </w:r>
      <w:r w:rsidR="00D042CA">
        <w:fldChar w:fldCharType="end"/>
      </w:r>
      <w:r w:rsidR="00061A03">
        <w:t>.</w:t>
      </w:r>
      <w:r w:rsidR="004876B5">
        <w:t xml:space="preserve">  While the implementation of </w:t>
      </w:r>
      <w:r w:rsidR="00C754F9">
        <w:t>PBM</w:t>
      </w:r>
      <w:r w:rsidR="004876B5">
        <w:t xml:space="preserve"> has resulted in </w:t>
      </w:r>
      <w:r w:rsidR="00171C53">
        <w:t>a reduction in red cell utilisation per 1000 population</w:t>
      </w:r>
      <w:r w:rsidR="004876B5">
        <w:t xml:space="preserve"> in Australia</w:t>
      </w:r>
      <w:r w:rsidR="00D042CA">
        <w:rPr>
          <w:rStyle w:val="EndnoteReference"/>
          <w:rFonts w:asciiTheme="minorHAnsi" w:hAnsiTheme="minorHAnsi" w:cstheme="minorHAnsi"/>
        </w:rPr>
        <w:fldChar w:fldCharType="begin" w:fldLock="1"/>
      </w:r>
      <w:r w:rsidR="00D626DF">
        <w:rPr>
          <w:rFonts w:asciiTheme="minorHAnsi" w:hAnsiTheme="minorHAnsi" w:cstheme="minorHAnsi"/>
        </w:rPr>
        <w:instrText>ADDIN CSL_CITATION { "citationItems" : [ { "id" : "ITEM-1", "itemData" : { "abstract" : "National Blood Authority Annual Report 2011-2012", "author" : [ { "dropping-particle" : "", "family" : "National Blood Authority", "given" : "", "non-dropping-particle" : "", "parse-names" : false, "suffix" : "" } ], "id" : "ITEM-1", "issued" : { "date-parts" : [ [ "2012" ] ] }, "publisher-place" : "Canberra, Australia", "title" : "National Blood Authority Annual Report 2011-2012", "type" : "report" }, "uris" : [ "http://www.mendeley.com/documents/?uuid=8bb1fe81-89fd-4732-af4c-e197bda6bd30" ] } ], "mendeley" : { "previouslyFormattedCitation" : "&lt;sup&gt;4&lt;/sup&gt;" }, "properties" : { "noteIndex" : 0 }, "schema" : "https://github.com/citation-style-language/schema/raw/master/csl-citation.json" }</w:instrText>
      </w:r>
      <w:r w:rsidR="00D042CA">
        <w:rPr>
          <w:rStyle w:val="EndnoteReference"/>
          <w:rFonts w:asciiTheme="minorHAnsi" w:hAnsiTheme="minorHAnsi" w:cstheme="minorHAnsi"/>
        </w:rPr>
        <w:fldChar w:fldCharType="separate"/>
      </w:r>
      <w:r w:rsidR="00D626DF" w:rsidRPr="00D626DF">
        <w:rPr>
          <w:rFonts w:asciiTheme="minorHAnsi" w:hAnsiTheme="minorHAnsi" w:cstheme="minorHAnsi"/>
          <w:noProof/>
          <w:vertAlign w:val="superscript"/>
        </w:rPr>
        <w:t>4</w:t>
      </w:r>
      <w:r w:rsidR="00D042CA">
        <w:rPr>
          <w:rStyle w:val="EndnoteReference"/>
          <w:rFonts w:asciiTheme="minorHAnsi" w:hAnsiTheme="minorHAnsi" w:cstheme="minorHAnsi"/>
        </w:rPr>
        <w:fldChar w:fldCharType="end"/>
      </w:r>
      <w:r w:rsidR="004876B5">
        <w:t xml:space="preserve"> r</w:t>
      </w:r>
      <w:r w:rsidR="00644FBE">
        <w:t>ece</w:t>
      </w:r>
      <w:r w:rsidR="004876B5">
        <w:t xml:space="preserve">nt </w:t>
      </w:r>
      <w:r w:rsidR="0051724D">
        <w:t>un</w:t>
      </w:r>
      <w:r w:rsidR="007D0CB8">
        <w:t xml:space="preserve">published </w:t>
      </w:r>
      <w:r w:rsidR="004876B5">
        <w:t>audits</w:t>
      </w:r>
      <w:r w:rsidR="00644FBE">
        <w:t xml:space="preserve"> </w:t>
      </w:r>
      <w:r w:rsidR="004876B5">
        <w:t>indicate that there is still room for improvement</w:t>
      </w:r>
      <w:r w:rsidR="00EC0E9C">
        <w:t xml:space="preserve">. </w:t>
      </w:r>
      <w:r w:rsidR="004876B5">
        <w:t xml:space="preserve"> </w:t>
      </w:r>
      <w:r w:rsidR="00C04608">
        <w:t>It has been conservatively estimated that a</w:t>
      </w:r>
      <w:r w:rsidR="004876B5">
        <w:t xml:space="preserve"> further 5% </w:t>
      </w:r>
      <w:r w:rsidR="00171C53">
        <w:t>reduction in</w:t>
      </w:r>
      <w:r w:rsidR="00E50CF1">
        <w:t xml:space="preserve"> red cell use</w:t>
      </w:r>
      <w:r w:rsidR="004876B5">
        <w:t xml:space="preserve"> </w:t>
      </w:r>
      <w:r w:rsidR="00C04608">
        <w:t>could be achieved</w:t>
      </w:r>
      <w:r w:rsidR="0051724D">
        <w:t>.</w:t>
      </w:r>
      <w:r w:rsidR="00F63F99">
        <w:t xml:space="preserve"> </w:t>
      </w:r>
      <w:r w:rsidR="00C04608">
        <w:t xml:space="preserve">This </w:t>
      </w:r>
      <w:r w:rsidR="004876B5">
        <w:t xml:space="preserve">represents a </w:t>
      </w:r>
      <w:r w:rsidR="00E50CF1">
        <w:t xml:space="preserve">national </w:t>
      </w:r>
      <w:r w:rsidR="004876B5">
        <w:t>saving of $</w:t>
      </w:r>
      <w:r w:rsidR="00E50CF1">
        <w:t>14.6M</w:t>
      </w:r>
      <w:r w:rsidR="004876B5">
        <w:t xml:space="preserve"> based</w:t>
      </w:r>
      <w:r w:rsidR="00E50CF1">
        <w:t xml:space="preserve"> on 2011-12 </w:t>
      </w:r>
      <w:r w:rsidR="00C04608">
        <w:t xml:space="preserve">issuage </w:t>
      </w:r>
      <w:r w:rsidR="00E50CF1">
        <w:t xml:space="preserve">of </w:t>
      </w:r>
      <w:r w:rsidR="00C04608">
        <w:t xml:space="preserve">just over 800,000 units of </w:t>
      </w:r>
      <w:r w:rsidR="00E50CF1">
        <w:t>red blood cells</w:t>
      </w:r>
      <w:r w:rsidR="00EC0E9C">
        <w:t xml:space="preserve">. </w:t>
      </w:r>
      <w:r w:rsidR="0051724D">
        <w:t xml:space="preserve">The imperative for governments to take advantage of opportunities to reduce unnecessary consumption is important, particularly in the context of demographic impacts and technical influences that drive health care activity such as population growth, an aging population and </w:t>
      </w:r>
      <w:r w:rsidR="00BA4BA0">
        <w:t>new treatment modalities (e.g. surgical and cancer therapies)</w:t>
      </w:r>
      <w:r w:rsidR="0051724D">
        <w:t xml:space="preserve">.  </w:t>
      </w:r>
    </w:p>
    <w:p w:rsidR="00B50513" w:rsidRDefault="00644FBE" w:rsidP="00FD0DC2">
      <w:r>
        <w:t>Further, many</w:t>
      </w:r>
      <w:r w:rsidR="000167F3">
        <w:t xml:space="preserve"> </w:t>
      </w:r>
      <w:r>
        <w:t>transfusions</w:t>
      </w:r>
      <w:r w:rsidR="000167F3">
        <w:t xml:space="preserve"> characterised as</w:t>
      </w:r>
      <w:r>
        <w:t xml:space="preserve"> </w:t>
      </w:r>
      <w:r w:rsidR="000167F3">
        <w:t xml:space="preserve">‘appropriate’ on the basis of a pre-transfusion haemoglobin, </w:t>
      </w:r>
      <w:r>
        <w:t>could be</w:t>
      </w:r>
      <w:r w:rsidR="00EC0E9C">
        <w:t xml:space="preserve"> rendered</w:t>
      </w:r>
      <w:r>
        <w:t xml:space="preserve"> unnecessary if patient’s iron deficiency is treated and patients are allowed </w:t>
      </w:r>
      <w:r w:rsidR="00EC0E9C">
        <w:t xml:space="preserve">adequate </w:t>
      </w:r>
      <w:r>
        <w:t>time to generate their own red cells and haemoglobin</w:t>
      </w:r>
      <w:r w:rsidR="00EC0E9C">
        <w:t xml:space="preserve"> in preference to transplanting another person’s red blood cells</w:t>
      </w:r>
      <w:r>
        <w:t>.</w:t>
      </w:r>
      <w:r w:rsidR="004876B5">
        <w:t xml:space="preserve"> </w:t>
      </w:r>
      <w:r w:rsidR="007D0CB8">
        <w:t xml:space="preserve">There is a significant challenge to ensure iron deficiency and anaemia is diagnosed and treated in a timely manner. </w:t>
      </w:r>
      <w:r w:rsidR="004876B5">
        <w:t>This would represent further reductions in red blood cell utilisation</w:t>
      </w:r>
      <w:r w:rsidR="00C04608">
        <w:t xml:space="preserve"> and additional savings</w:t>
      </w:r>
      <w:r w:rsidR="007D0CB8">
        <w:t xml:space="preserve"> to the health sector</w:t>
      </w:r>
      <w:r w:rsidR="004876B5">
        <w:t xml:space="preserve">. </w:t>
      </w:r>
      <w:r>
        <w:t xml:space="preserve"> </w:t>
      </w:r>
      <w:r w:rsidR="000167F3">
        <w:t>I</w:t>
      </w:r>
      <w:r w:rsidR="00B50513">
        <w:t xml:space="preserve">ron deficiency </w:t>
      </w:r>
      <w:r w:rsidR="001F6C21">
        <w:t xml:space="preserve">and </w:t>
      </w:r>
      <w:r w:rsidR="00B50513">
        <w:t xml:space="preserve">anaemia </w:t>
      </w:r>
      <w:r w:rsidR="008142E3">
        <w:t>is prevalent</w:t>
      </w:r>
      <w:r w:rsidR="00DD04B9" w:rsidRPr="00DD04B9">
        <w:t xml:space="preserve"> </w:t>
      </w:r>
      <w:r w:rsidR="00DD04B9">
        <w:t>in Australia</w:t>
      </w:r>
      <w:r w:rsidR="008142E3">
        <w:t xml:space="preserve">, particularly in high risk groups </w:t>
      </w:r>
      <w:r w:rsidR="000167F3">
        <w:t>with the following rates being reported</w:t>
      </w:r>
      <w:r w:rsidR="00DD04B9">
        <w:t xml:space="preserve"> </w:t>
      </w:r>
      <w:r w:rsidR="00D042CA">
        <w:rPr>
          <w:rStyle w:val="EndnoteReference"/>
          <w:rFonts w:asciiTheme="minorHAnsi" w:hAnsiTheme="minorHAnsi" w:cstheme="minorHAnsi"/>
        </w:rPr>
        <w:fldChar w:fldCharType="begin" w:fldLock="1"/>
      </w:r>
      <w:r w:rsidR="00D626DF">
        <w:rPr>
          <w:rFonts w:asciiTheme="minorHAnsi" w:hAnsiTheme="minorHAnsi" w:cstheme="minorHAnsi"/>
        </w:rPr>
        <w:instrText>ADDIN CSL_CITATION { "citationItems" : [ { "id" : "ITEM-1", "itemData" : { "abstract" : "Iron deficiency anaemia (IDA) remains prevalent in Australia and worldwide, especially among high-risk groups. IDA may be effectively diagnosed in most cases by full blood examination and serum ferritin level. Serum iron levels should not be used to diagnose iron deficiency. Although iron deficiency may be due to physiological demands in growing children, adolescents and pregnant women, the underlying cause(s) should be sought. Patients without a clear physiological explanation for iron deficiency (especially men and postmenopausal women) should be evaluated by gastroscopy/colonoscopy to exclude a source of gastrointestinal bleeding, particularly a malignant lesion. Patients with IDA should be assessed for coeliac disease. Oral iron therapy, in appropriate doses and for a sufficient duration, is an effective first-line strategy for most patients. In selected patients for whom intravenous (IV) iron therapy is indicated, current formulations can be safely administered in outpatient treatment centres and are relatively inexpensive. Red cell transfusion is inappropriate therapy for IDA unless an immediate increase in oxygen delivery is required, such as when the patient is experiencing end-organ compromise (eg, angina pectoris or cardiac failure), or IDA is complicated by serious, acute ongoing bleeding. Consensus methods for administration of available IV iron products are needed to improve the utilisation of these formulations in Australia and reduce inappropriate transfusion. New-generation IV products, supported by high-quality evidence of safety and efficacy, may facilitate rapid administration of higher doses of iron, and may make it easier to integrate IV iron replacement into routine care.", "author" : [ { "dropping-particle" : "", "family" : "Pasricha", "given" : "Sant-Rayn S", "non-dropping-particle" : "", "parse-names" : false, "suffix" : "" }, { "dropping-particle" : "", "family" : "Flecknoe-Brown", "given" : "Stephen C", "non-dropping-particle" : "", "parse-names" : false, "suffix" : "" }, { "dropping-particle" : "", "family" : "Allen", "given" : "Katrina J", "non-dropping-particle" : "", "parse-names" : false, "suffix" : "" }, { "dropping-particle" : "", "family" : "Gibson", "given" : "Peter R", "non-dropping-particle" : "", "parse-names" : false, "suffix" : "" }, { "dropping-particle" : "", "family" : "McMahon", "given" : "Lawrence P", "non-dropping-particle" : "", "parse-names" : false, "suffix" : "" }, { "dropping-particle" : "", "family" : "Olynyk", "given" : "John K", "non-dropping-particle" : "", "parse-names" : false, "suffix" : "" }, { "dropping-particle" : "", "family" : "Roger", "given" : "Simon D", "non-dropping-particle" : "", "parse-names" : false, "suffix" : "" }, { "dropping-particle" : "", "family" : "Savoia", "given" : "Helen F", "non-dropping-particle" : "", "parse-names" : false, "suffix" : "" }, { "dropping-particle" : "", "family" : "Tampi", "given" : "Ramdas", "non-dropping-particle" : "", "parse-names" : false, "suffix" : "" }, { "dropping-particle" : "", "family" : "Thomson", "given" : "Amanda R", "non-dropping-particle" : "", "parse-names" : false, "suffix" : "" }, { "dropping-particle" : "", "family" : "Wood", "given" : "Erica M", "non-dropping-particle" : "", "parse-names" : false, "suffix" : "" }, { "dropping-particle" : "", "family" : "Robinson", "given" : "Kathryn L", "non-dropping-particle" : "", "parse-names" : false, "suffix" : "" } ], "container-title" : "The Medical journal of Australia", "id" : "ITEM-1", "issue" : "9", "issued" : { "date-parts" : [ [ "2010", "11" ] ] }, "page" : "525-532", "title" : "Diagnosis and management of iron deficiency anaemia: a clinical update.", "type" : "article-journal", "volume" : "193" }, "uris" : [ "http://www.mendeley.com/documents/?uuid=c4d2c151-9531-413b-96de-93a48f32e6e5" ] } ], "mendeley" : { "previouslyFormattedCitation" : "&lt;sup&gt;5&lt;/sup&gt;" }, "properties" : { "noteIndex" : 0 }, "schema" : "https://github.com/citation-style-language/schema/raw/master/csl-citation.json" }</w:instrText>
      </w:r>
      <w:r w:rsidR="00D042CA">
        <w:rPr>
          <w:rStyle w:val="EndnoteReference"/>
          <w:rFonts w:asciiTheme="minorHAnsi" w:hAnsiTheme="minorHAnsi" w:cstheme="minorHAnsi"/>
        </w:rPr>
        <w:fldChar w:fldCharType="separate"/>
      </w:r>
      <w:r w:rsidR="00D626DF" w:rsidRPr="00D626DF">
        <w:rPr>
          <w:rFonts w:asciiTheme="minorHAnsi" w:hAnsiTheme="minorHAnsi" w:cstheme="minorHAnsi"/>
          <w:noProof/>
          <w:vertAlign w:val="superscript"/>
        </w:rPr>
        <w:t>5</w:t>
      </w:r>
      <w:r w:rsidR="00D042CA">
        <w:rPr>
          <w:rStyle w:val="EndnoteReference"/>
          <w:rFonts w:asciiTheme="minorHAnsi" w:hAnsiTheme="minorHAnsi" w:cstheme="minorHAnsi"/>
        </w:rPr>
        <w:fldChar w:fldCharType="end"/>
      </w:r>
    </w:p>
    <w:p w:rsidR="00B50513" w:rsidRPr="00256908" w:rsidRDefault="00C754F9" w:rsidP="00256908">
      <w:pPr>
        <w:pStyle w:val="ListParagraph"/>
        <w:numPr>
          <w:ilvl w:val="0"/>
          <w:numId w:val="36"/>
        </w:numPr>
      </w:pPr>
      <w:r>
        <w:t>iron deficiency a</w:t>
      </w:r>
      <w:r w:rsidR="00DD04B9" w:rsidRPr="00256908">
        <w:t xml:space="preserve">naemia - </w:t>
      </w:r>
      <w:r>
        <w:t>t</w:t>
      </w:r>
      <w:r w:rsidR="00A94B1A" w:rsidRPr="00256908">
        <w:t xml:space="preserve">oddlers </w:t>
      </w:r>
      <w:r>
        <w:t xml:space="preserve"> 1-6% and up to 14% in A</w:t>
      </w:r>
      <w:r w:rsidR="00B50513" w:rsidRPr="00256908">
        <w:t>sian group</w:t>
      </w:r>
    </w:p>
    <w:p w:rsidR="00B50513" w:rsidRPr="00256908" w:rsidRDefault="00C754F9" w:rsidP="00256908">
      <w:pPr>
        <w:pStyle w:val="ListParagraph"/>
        <w:numPr>
          <w:ilvl w:val="0"/>
          <w:numId w:val="36"/>
        </w:numPr>
      </w:pPr>
      <w:r>
        <w:t>a</w:t>
      </w:r>
      <w:r w:rsidR="00DD04B9" w:rsidRPr="00256908">
        <w:t xml:space="preserve">naemia (all causes) - </w:t>
      </w:r>
      <w:r>
        <w:t>n</w:t>
      </w:r>
      <w:r w:rsidR="00A94B1A" w:rsidRPr="00256908">
        <w:t xml:space="preserve">on-pregnant young women </w:t>
      </w:r>
      <w:r w:rsidR="00B50513" w:rsidRPr="00256908">
        <w:t>10%</w:t>
      </w:r>
    </w:p>
    <w:p w:rsidR="00B50513" w:rsidRPr="00256908" w:rsidRDefault="00C754F9" w:rsidP="00256908">
      <w:pPr>
        <w:pStyle w:val="ListParagraph"/>
        <w:numPr>
          <w:ilvl w:val="0"/>
          <w:numId w:val="36"/>
        </w:numPr>
      </w:pPr>
      <w:r>
        <w:t>a</w:t>
      </w:r>
      <w:r w:rsidR="00DD04B9" w:rsidRPr="00256908">
        <w:t xml:space="preserve">naemia (all causes) </w:t>
      </w:r>
      <w:r>
        <w:t>- p</w:t>
      </w:r>
      <w:r w:rsidR="00B50513" w:rsidRPr="00256908">
        <w:t>regnant women not taking iron supplements 11%</w:t>
      </w:r>
    </w:p>
    <w:p w:rsidR="000167F3" w:rsidRDefault="00C754F9" w:rsidP="00256908">
      <w:pPr>
        <w:pStyle w:val="ListParagraph"/>
        <w:numPr>
          <w:ilvl w:val="0"/>
          <w:numId w:val="36"/>
        </w:numPr>
        <w:rPr>
          <w:rFonts w:asciiTheme="minorHAnsi" w:hAnsiTheme="minorHAnsi" w:cstheme="minorHAnsi"/>
        </w:rPr>
      </w:pPr>
      <w:proofErr w:type="gramStart"/>
      <w:r>
        <w:t>a</w:t>
      </w:r>
      <w:r w:rsidR="00DD04B9" w:rsidRPr="00256908">
        <w:t>naemia</w:t>
      </w:r>
      <w:proofErr w:type="gramEnd"/>
      <w:r w:rsidR="00DD04B9" w:rsidRPr="00256908">
        <w:t xml:space="preserve"> (all causes) </w:t>
      </w:r>
      <w:r>
        <w:t>- i</w:t>
      </w:r>
      <w:r w:rsidR="00A94B1A" w:rsidRPr="00256908">
        <w:t xml:space="preserve">ndigenous women </w:t>
      </w:r>
      <w:r w:rsidR="00B50513" w:rsidRPr="00256908">
        <w:t>55%</w:t>
      </w:r>
      <w:r w:rsidR="00DD04B9" w:rsidRPr="00256908">
        <w:t xml:space="preserve"> and</w:t>
      </w:r>
      <w:r w:rsidR="00DD04B9">
        <w:rPr>
          <w:rFonts w:asciiTheme="minorHAnsi" w:hAnsiTheme="minorHAnsi" w:cstheme="minorHAnsi"/>
        </w:rPr>
        <w:t xml:space="preserve"> </w:t>
      </w:r>
      <w:r>
        <w:rPr>
          <w:rFonts w:asciiTheme="minorHAnsi" w:hAnsiTheme="minorHAnsi" w:cstheme="minorHAnsi"/>
        </w:rPr>
        <w:t>i</w:t>
      </w:r>
      <w:r w:rsidR="00A94B1A">
        <w:rPr>
          <w:rFonts w:asciiTheme="minorHAnsi" w:hAnsiTheme="minorHAnsi" w:cstheme="minorHAnsi"/>
        </w:rPr>
        <w:t>ndigenous men</w:t>
      </w:r>
      <w:r w:rsidR="00B50513" w:rsidRPr="00B50513">
        <w:rPr>
          <w:rFonts w:asciiTheme="minorHAnsi" w:hAnsiTheme="minorHAnsi" w:cstheme="minorHAnsi"/>
        </w:rPr>
        <w:t xml:space="preserve"> 18%</w:t>
      </w:r>
      <w:r w:rsidR="008343C0">
        <w:rPr>
          <w:rFonts w:asciiTheme="minorHAnsi" w:hAnsiTheme="minorHAnsi" w:cstheme="minorHAnsi"/>
        </w:rPr>
        <w:t>.</w:t>
      </w:r>
      <w:r w:rsidR="00644FBE">
        <w:rPr>
          <w:rFonts w:asciiTheme="minorHAnsi" w:hAnsiTheme="minorHAnsi" w:cstheme="minorHAnsi"/>
        </w:rPr>
        <w:t xml:space="preserve">  </w:t>
      </w:r>
    </w:p>
    <w:p w:rsidR="00DD04B9" w:rsidRDefault="00DD04B9" w:rsidP="00FD0DC2">
      <w:r>
        <w:lastRenderedPageBreak/>
        <w:t xml:space="preserve">High variation in </w:t>
      </w:r>
      <w:r w:rsidR="008343C0">
        <w:t xml:space="preserve">red cell transfusion </w:t>
      </w:r>
      <w:r>
        <w:t>prescribing practice has also been reported with</w:t>
      </w:r>
      <w:r w:rsidR="000167F3">
        <w:t xml:space="preserve"> </w:t>
      </w:r>
      <w:r w:rsidR="008343C0">
        <w:t xml:space="preserve">transfusions per 1000 surgical separations in Australian states and territories ranging between </w:t>
      </w:r>
      <w:r w:rsidR="000167F3">
        <w:t>76 to 152 per 1000 surgical separations</w:t>
      </w:r>
      <w:r w:rsidR="00D042CA">
        <w:rPr>
          <w:rStyle w:val="EndnoteReference"/>
          <w:rFonts w:asciiTheme="minorHAnsi" w:hAnsiTheme="minorHAnsi" w:cstheme="minorHAnsi"/>
        </w:rPr>
        <w:fldChar w:fldCharType="begin" w:fldLock="1"/>
      </w:r>
      <w:r w:rsidR="00D626DF">
        <w:rPr>
          <w:rFonts w:asciiTheme="minorHAnsi" w:hAnsiTheme="minorHAnsi" w:cstheme="minorHAnsi"/>
        </w:rPr>
        <w:instrText>ADDIN CSL_CITATION { "citationItems" : [ { "id" : "ITEM-1", "itemData" : { "abstract" : "Australian Hospital Statistics 2008-09", "author" : [ { "dropping-particle" : "", "family" : "Australian Institute of Health and Welfare", "given" : "", "non-dropping-particle" : "", "parse-names" : false, "suffix" : "" } ], "container-title" : "Health Service Series Number 34", "id" : "ITEM-1", "issue" : "34", "issued" : { "date-parts" : [ [ "2010" ] ] }, "title" : "Australian Hospital Statistics 2008-09", "type" : "article-journal", "volume" : "34" }, "uris" : [ "http://www.mendeley.com/documents/?uuid=9216dd16-0bca-4b06-808e-a60feacbbaf7" ] } ], "mendeley" : { "previouslyFormattedCitation" : "&lt;sup&gt;6&lt;/sup&gt;" }, "properties" : { "noteIndex" : 0 }, "schema" : "https://github.com/citation-style-language/schema/raw/master/csl-citation.json" }</w:instrText>
      </w:r>
      <w:r w:rsidR="00D042CA">
        <w:rPr>
          <w:rStyle w:val="EndnoteReference"/>
          <w:rFonts w:asciiTheme="minorHAnsi" w:hAnsiTheme="minorHAnsi" w:cstheme="minorHAnsi"/>
        </w:rPr>
        <w:fldChar w:fldCharType="separate"/>
      </w:r>
      <w:r w:rsidR="00D626DF" w:rsidRPr="00D626DF">
        <w:rPr>
          <w:rFonts w:asciiTheme="minorHAnsi" w:hAnsiTheme="minorHAnsi" w:cstheme="minorHAnsi"/>
          <w:noProof/>
          <w:vertAlign w:val="superscript"/>
        </w:rPr>
        <w:t>6</w:t>
      </w:r>
      <w:r w:rsidR="00D042CA">
        <w:rPr>
          <w:rStyle w:val="EndnoteReference"/>
          <w:rFonts w:asciiTheme="minorHAnsi" w:hAnsiTheme="minorHAnsi" w:cstheme="minorHAnsi"/>
        </w:rPr>
        <w:fldChar w:fldCharType="end"/>
      </w:r>
      <w:r w:rsidR="000167F3">
        <w:t xml:space="preserve">. </w:t>
      </w:r>
    </w:p>
    <w:p w:rsidR="008343C0" w:rsidRDefault="008343C0" w:rsidP="00FD0DC2">
      <w:r>
        <w:t xml:space="preserve">Adoption of PBM presents the opportunity to reduce the prevalence of iron deficiency and anaemia, reduce the need for transfusion, standardise transfusion practice and improve patient outcomes while achieving substantial budgetary savings. </w:t>
      </w:r>
    </w:p>
    <w:p w:rsidR="005D1FC2" w:rsidRPr="004940C7" w:rsidRDefault="005D1FC2" w:rsidP="00FD0DC2">
      <w:r w:rsidRPr="004940C7">
        <w:t xml:space="preserve">To support the adoption of PBM across Australia, governments sponsored the </w:t>
      </w:r>
      <w:r w:rsidR="00F70E4F" w:rsidRPr="004940C7">
        <w:t>N</w:t>
      </w:r>
      <w:r w:rsidR="00E52CC3">
        <w:t xml:space="preserve">ational </w:t>
      </w:r>
      <w:r w:rsidR="00F70E4F" w:rsidRPr="004940C7">
        <w:t>B</w:t>
      </w:r>
      <w:r w:rsidR="00E52CC3">
        <w:t xml:space="preserve">lood </w:t>
      </w:r>
      <w:r w:rsidR="00F70E4F" w:rsidRPr="004940C7">
        <w:t>A</w:t>
      </w:r>
      <w:r w:rsidR="00E52CC3">
        <w:t>uthority (NBA)</w:t>
      </w:r>
      <w:r w:rsidR="00F70E4F" w:rsidRPr="004940C7">
        <w:t xml:space="preserve"> </w:t>
      </w:r>
      <w:r w:rsidRPr="004940C7">
        <w:t>to</w:t>
      </w:r>
      <w:r w:rsidR="00F70E4F" w:rsidRPr="004940C7">
        <w:t xml:space="preserve"> coordinate input from clinical experts across the </w:t>
      </w:r>
      <w:r w:rsidRPr="004940C7">
        <w:t xml:space="preserve">blood </w:t>
      </w:r>
      <w:r w:rsidR="00F70E4F" w:rsidRPr="004940C7">
        <w:t>sector to develop a set of contemporary evidence based PBM Guidelines, approved by the National Health and Medical Research Council</w:t>
      </w:r>
      <w:r w:rsidR="00295C40">
        <w:t xml:space="preserve"> (NHMRC)</w:t>
      </w:r>
      <w:r w:rsidRPr="004940C7">
        <w:t xml:space="preserve">. The </w:t>
      </w:r>
      <w:r w:rsidR="0092679A">
        <w:t>PBM G</w:t>
      </w:r>
      <w:r w:rsidRPr="004940C7">
        <w:t>uidelines consist of six modules that provide recommendations in relation to best PBM clinical practice. The challenge now is to support imp</w:t>
      </w:r>
      <w:r w:rsidR="00A20EFC">
        <w:t>lementation of these Guidelines which require</w:t>
      </w:r>
      <w:r w:rsidR="00061A03">
        <w:t>s</w:t>
      </w:r>
      <w:r w:rsidR="00A20EFC">
        <w:t xml:space="preserve"> a coordinated approach to patient care provided in the primary care and hospital settings by people from a wide range of disciplines. </w:t>
      </w:r>
    </w:p>
    <w:p w:rsidR="00AD1599" w:rsidRPr="004940C7" w:rsidRDefault="005D1FC2" w:rsidP="00FD0DC2">
      <w:r w:rsidRPr="004940C7">
        <w:t xml:space="preserve">The operational and cultural change required to implement best practice </w:t>
      </w:r>
      <w:r w:rsidR="00AD1599" w:rsidRPr="004940C7">
        <w:t xml:space="preserve">clinical </w:t>
      </w:r>
      <w:r w:rsidRPr="004940C7">
        <w:t xml:space="preserve">measures </w:t>
      </w:r>
      <w:r w:rsidR="00AD1599" w:rsidRPr="004940C7">
        <w:t xml:space="preserve">at a health provider level </w:t>
      </w:r>
      <w:r w:rsidRPr="004940C7">
        <w:t xml:space="preserve">are significant and sometimes require complex changes in business process and clinical practice. There are also a range of wider environmental challenges confronting jurisdictions and health providers seeking to implement the </w:t>
      </w:r>
      <w:r w:rsidR="00AD1599" w:rsidRPr="004940C7">
        <w:t>change</w:t>
      </w:r>
      <w:r w:rsidRPr="004940C7">
        <w:t>.</w:t>
      </w:r>
      <w:r w:rsidR="00AD1599" w:rsidRPr="004940C7">
        <w:t xml:space="preserve"> </w:t>
      </w:r>
    </w:p>
    <w:p w:rsidR="00AD1599" w:rsidRPr="004940C7" w:rsidRDefault="00AD1599" w:rsidP="00FD0DC2">
      <w:r w:rsidRPr="004940C7">
        <w:t>This paper outlines a strategy to support Jurisdictions and health providers to implement the PBM Guidelines. The strategy is collaborative in nature, drawing on expertise from across the sector to</w:t>
      </w:r>
      <w:r w:rsidR="00202C19">
        <w:t xml:space="preserve"> </w:t>
      </w:r>
      <w:r w:rsidRPr="004940C7">
        <w:t xml:space="preserve">provide the tools and necessary national coordination to support jurisdictions and health providers to implement PBM. The identified program of activities </w:t>
      </w:r>
      <w:r w:rsidR="00202C19">
        <w:t>i</w:t>
      </w:r>
      <w:r w:rsidRPr="004940C7">
        <w:t xml:space="preserve">s initially resourced by the NBA, but is iterative in nature. As it develops, it may generate specific projects, resourced </w:t>
      </w:r>
      <w:r w:rsidR="00BA4BA0">
        <w:t>by all Australian governments</w:t>
      </w:r>
      <w:r w:rsidR="00F63F99">
        <w:t xml:space="preserve"> </w:t>
      </w:r>
      <w:r w:rsidR="00806F08">
        <w:t xml:space="preserve">after </w:t>
      </w:r>
      <w:r w:rsidR="00BA4BA0">
        <w:t xml:space="preserve">Jurisdictional Blood Committee </w:t>
      </w:r>
      <w:r w:rsidR="00806F08">
        <w:t>approval</w:t>
      </w:r>
      <w:r w:rsidRPr="004940C7">
        <w:t xml:space="preserve">. </w:t>
      </w:r>
    </w:p>
    <w:p w:rsidR="0014561E" w:rsidRDefault="00192D63" w:rsidP="00FD0DC2">
      <w:r w:rsidRPr="004940C7">
        <w:t xml:space="preserve">Regular updates on progress against items identified in this Strategy will be available online at </w:t>
      </w:r>
      <w:hyperlink r:id="rId11" w:history="1">
        <w:r w:rsidR="0014561E" w:rsidRPr="0003568A">
          <w:rPr>
            <w:rStyle w:val="Hyperlink"/>
          </w:rPr>
          <w:t>www.blood.gov.au/patient-blood-management</w:t>
        </w:r>
      </w:hyperlink>
      <w:r w:rsidR="0014561E">
        <w:t>.</w:t>
      </w:r>
    </w:p>
    <w:p w:rsidR="00192D63" w:rsidRDefault="00192D63" w:rsidP="00192D63">
      <w:pPr>
        <w:spacing w:after="0" w:line="312" w:lineRule="auto"/>
      </w:pPr>
    </w:p>
    <w:p w:rsidR="003335D3" w:rsidRDefault="004940C7" w:rsidP="00605034">
      <w:pPr>
        <w:pStyle w:val="Heading1"/>
        <w:spacing w:before="240"/>
        <w:ind w:right="6"/>
      </w:pPr>
      <w:r>
        <w:lastRenderedPageBreak/>
        <w:t>Patient Blood Management Guidelines</w:t>
      </w:r>
    </w:p>
    <w:p w:rsidR="00202C19" w:rsidRDefault="00202C19" w:rsidP="00202C19">
      <w:r>
        <w:t xml:space="preserve">In 2006, the NBA established a Clinical Advisory Council comprised of eminent Australian clinicians and academics. This group advised the NBA that the product-focussed NHMRC/ASBT Guidelines on the Use of Blood and Blood Products (2001) needed to be replaced by ‘patient focused’ guidelines and that the emergence of the concept of </w:t>
      </w:r>
      <w:r w:rsidR="00C754F9">
        <w:t>PBM</w:t>
      </w:r>
      <w:r>
        <w:t xml:space="preserve"> provided an excellent clinical framework for the new guidelines.  They proposed a series of guidelines focussing on specific patient populations. </w:t>
      </w:r>
    </w:p>
    <w:p w:rsidR="00202C19" w:rsidRDefault="00202C19" w:rsidP="00202C19">
      <w:r>
        <w:t xml:space="preserve">The NBA established a governance framework for the development of these guidelines and sought the advice of a wide range of experts as to the specific populations in which PBM </w:t>
      </w:r>
      <w:r w:rsidR="00122FB2">
        <w:t>g</w:t>
      </w:r>
      <w:r>
        <w:t xml:space="preserve">uidelines were required.  </w:t>
      </w:r>
    </w:p>
    <w:p w:rsidR="00202C19" w:rsidRDefault="00C754F9" w:rsidP="00202C19">
      <w:r>
        <w:t>The PBM G</w:t>
      </w:r>
      <w:r w:rsidR="00202C19">
        <w:t xml:space="preserve">uidelines have been divided into six </w:t>
      </w:r>
      <w:r w:rsidR="0092679A">
        <w:t>m</w:t>
      </w:r>
      <w:r w:rsidR="00202C19">
        <w:t>odules</w:t>
      </w:r>
      <w:r w:rsidR="00B261BA">
        <w:t xml:space="preserve"> for</w:t>
      </w:r>
      <w:r w:rsidR="00202C19">
        <w:t xml:space="preserve"> the following patient populations:</w:t>
      </w:r>
    </w:p>
    <w:p w:rsidR="00202C19" w:rsidRDefault="00B261BA" w:rsidP="00FD0DC2">
      <w:pPr>
        <w:pStyle w:val="ListParagraph"/>
        <w:numPr>
          <w:ilvl w:val="0"/>
          <w:numId w:val="36"/>
        </w:numPr>
      </w:pPr>
      <w:r>
        <w:t xml:space="preserve">Module 1 - </w:t>
      </w:r>
      <w:r w:rsidR="00202C19">
        <w:t>Critical Bleeding/Massive Transfusion</w:t>
      </w:r>
    </w:p>
    <w:p w:rsidR="00202C19" w:rsidRDefault="00B261BA" w:rsidP="00FD0DC2">
      <w:pPr>
        <w:pStyle w:val="ListParagraph"/>
        <w:numPr>
          <w:ilvl w:val="0"/>
          <w:numId w:val="36"/>
        </w:numPr>
      </w:pPr>
      <w:r>
        <w:t xml:space="preserve">Module 2 - </w:t>
      </w:r>
      <w:r w:rsidR="00202C19">
        <w:t>Perioperative</w:t>
      </w:r>
    </w:p>
    <w:p w:rsidR="00202C19" w:rsidRDefault="00B261BA" w:rsidP="00FD0DC2">
      <w:pPr>
        <w:pStyle w:val="ListParagraph"/>
        <w:numPr>
          <w:ilvl w:val="0"/>
          <w:numId w:val="36"/>
        </w:numPr>
      </w:pPr>
      <w:r>
        <w:t xml:space="preserve">Module 3 - </w:t>
      </w:r>
      <w:r w:rsidR="00202C19">
        <w:t>Medical</w:t>
      </w:r>
    </w:p>
    <w:p w:rsidR="00202C19" w:rsidRDefault="00B261BA" w:rsidP="00FD0DC2">
      <w:pPr>
        <w:pStyle w:val="ListParagraph"/>
        <w:numPr>
          <w:ilvl w:val="0"/>
          <w:numId w:val="36"/>
        </w:numPr>
      </w:pPr>
      <w:r>
        <w:t xml:space="preserve">Module 4 - </w:t>
      </w:r>
      <w:r w:rsidR="00202C19">
        <w:t>Critical Care</w:t>
      </w:r>
    </w:p>
    <w:p w:rsidR="00202C19" w:rsidRDefault="00B261BA" w:rsidP="00FD0DC2">
      <w:pPr>
        <w:pStyle w:val="ListParagraph"/>
        <w:numPr>
          <w:ilvl w:val="0"/>
          <w:numId w:val="36"/>
        </w:numPr>
      </w:pPr>
      <w:r>
        <w:t xml:space="preserve">Module 5 - </w:t>
      </w:r>
      <w:r w:rsidR="00202C19">
        <w:t>Obstetrics</w:t>
      </w:r>
    </w:p>
    <w:p w:rsidR="00202C19" w:rsidRPr="00E924EB" w:rsidRDefault="00B261BA" w:rsidP="00FD0DC2">
      <w:pPr>
        <w:pStyle w:val="ListParagraph"/>
        <w:numPr>
          <w:ilvl w:val="0"/>
          <w:numId w:val="36"/>
        </w:numPr>
      </w:pPr>
      <w:r>
        <w:t xml:space="preserve">Module 6 - </w:t>
      </w:r>
      <w:r w:rsidR="00202C19">
        <w:t>Paediatrics/Neonates</w:t>
      </w:r>
    </w:p>
    <w:p w:rsidR="00202C19" w:rsidRDefault="00675633" w:rsidP="00202C19">
      <w:bookmarkStart w:id="1" w:name="_Toc338684408"/>
      <w:r>
        <w:t>All Australian Governments have</w:t>
      </w:r>
      <w:r w:rsidR="00C754F9">
        <w:t xml:space="preserve"> funded the development of the </w:t>
      </w:r>
      <w:r w:rsidR="0092679A">
        <w:t>PBM G</w:t>
      </w:r>
      <w:r w:rsidR="00202C19">
        <w:t>uidelines</w:t>
      </w:r>
      <w:r>
        <w:t xml:space="preserve"> under the governance of the Jurisdictional Blood Committee and the NBA</w:t>
      </w:r>
      <w:r w:rsidR="00202C19">
        <w:t>. The NBA is project managing and coord</w:t>
      </w:r>
      <w:r w:rsidR="00C754F9">
        <w:t xml:space="preserve">inating the development of the </w:t>
      </w:r>
      <w:r w:rsidR="0092679A">
        <w:t>G</w:t>
      </w:r>
      <w:r w:rsidR="00202C19">
        <w:t xml:space="preserve">uidelines.  A systematic reviewer has been engaged to undertake the systematic reviews and facilitate drafting of each module.  The NBA manages all communications and contracts. </w:t>
      </w:r>
    </w:p>
    <w:p w:rsidR="00202C19" w:rsidRDefault="00202C19" w:rsidP="00202C19">
      <w:r>
        <w:t xml:space="preserve">The NHMRC Council considers each module for approval. The first four modules were considered against the </w:t>
      </w:r>
      <w:r w:rsidRPr="008B0AAF">
        <w:rPr>
          <w:i/>
        </w:rPr>
        <w:t>2007 standards and procedures for externally developed guidelines</w:t>
      </w:r>
      <w:r w:rsidR="00D042CA">
        <w:rPr>
          <w:i/>
        </w:rPr>
        <w:fldChar w:fldCharType="begin" w:fldLock="1"/>
      </w:r>
      <w:r w:rsidR="00D626DF">
        <w:rPr>
          <w:i/>
        </w:rPr>
        <w:instrText>ADDIN CSL_CITATION { "citationItems" : [ { "id" : "ITEM-1", "itemData" : { "abstract" : "NHMRC standards and procedures for externally developed guidelines", "author" : [ { "dropping-particle" : "", "family" : "National Health and Medical Research Council (NHMRC)", "given" : "", "non-dropping-particle" : "", "parse-names" : false, "suffix" : "" } ], "container-title" : "NHMRC", "id" : "ITEM-1", "issued" : { "date-parts" : [ [ "2007" ] ] }, "title" : "NHMRC standards and procedures for externally developed guidelines", "type" : "article-journal" }, "uris" : [ "http://www.mendeley.com/documents/?uuid=2972d4e5-ca1d-4628-8a53-b303ec644a4d" ] } ], "mendeley" : { "previouslyFormattedCitation" : "&lt;sup&gt;7&lt;/sup&gt;" }, "properties" : { "noteIndex" : 0 }, "schema" : "https://github.com/citation-style-language/schema/raw/master/csl-citation.json" }</w:instrText>
      </w:r>
      <w:r w:rsidR="00D042CA">
        <w:rPr>
          <w:i/>
        </w:rPr>
        <w:fldChar w:fldCharType="separate"/>
      </w:r>
      <w:r w:rsidR="00D626DF" w:rsidRPr="00D626DF">
        <w:rPr>
          <w:noProof/>
          <w:vertAlign w:val="superscript"/>
        </w:rPr>
        <w:t>7</w:t>
      </w:r>
      <w:r w:rsidR="00D042CA">
        <w:rPr>
          <w:i/>
        </w:rPr>
        <w:fldChar w:fldCharType="end"/>
      </w:r>
      <w:r>
        <w:t xml:space="preserve">, whereas Modules 5 and 6 will be considered against the </w:t>
      </w:r>
      <w:r>
        <w:rPr>
          <w:i/>
        </w:rPr>
        <w:t>P</w:t>
      </w:r>
      <w:r w:rsidRPr="008B0AAF">
        <w:rPr>
          <w:i/>
        </w:rPr>
        <w:t>rocedures and requirements for meeting the</w:t>
      </w:r>
      <w:r>
        <w:rPr>
          <w:i/>
        </w:rPr>
        <w:t xml:space="preserve"> 2011 NHMRC Standard for clinical practice guidelines</w:t>
      </w:r>
      <w:r w:rsidR="00DB5852">
        <w:rPr>
          <w:i/>
        </w:rPr>
        <w:fldChar w:fldCharType="begin" w:fldLock="1"/>
      </w:r>
      <w:r w:rsidR="00D626DF">
        <w:rPr>
          <w:i/>
        </w:rPr>
        <w:instrText>ADDIN CSL_CITATION { "citationItems" : [ { "id" : "ITEM-1", "itemData" : { "author" : [ { "dropping-particle" : "", "family" : "National Health and Medical Research Council (NHMRC)", "given" : "", "non-dropping-particle" : "", "parse-names" : false, "suffix" : "" } ], "container-title" : "NHMRC", "id" : "ITEM-1", "issued" : { "date-parts" : [ [ "2011" ] ] }, "title" : "Procedures and requirements for meeting the 2011 NHMRC Standard for clinical practice guidelines", "type" : "article-journal" }, "uris" : [ "http://www.mendeley.com/documents/?uuid=cb3cae04-c477-4814-a248-c0fec19b3f18" ] } ], "mendeley" : { "previouslyFormattedCitation" : "&lt;sup&gt;8&lt;/sup&gt;" }, "properties" : { "noteIndex" : 0 }, "schema" : "https://github.com/citation-style-language/schema/raw/master/csl-citation.json" }</w:instrText>
      </w:r>
      <w:r w:rsidR="00DB5852">
        <w:rPr>
          <w:i/>
        </w:rPr>
        <w:fldChar w:fldCharType="separate"/>
      </w:r>
      <w:r w:rsidR="00D626DF" w:rsidRPr="00D626DF">
        <w:rPr>
          <w:noProof/>
          <w:vertAlign w:val="superscript"/>
        </w:rPr>
        <w:t>8</w:t>
      </w:r>
      <w:r w:rsidR="00DB5852">
        <w:rPr>
          <w:i/>
        </w:rPr>
        <w:fldChar w:fldCharType="end"/>
      </w:r>
      <w:r>
        <w:t xml:space="preserve">.  Each module is reviewed by methodological and peer reviewers from the international community. In addition, each module is reviewed by an expert assessor using the international quality tool for clinical practice guidelines: </w:t>
      </w:r>
      <w:r w:rsidRPr="008B0AAF">
        <w:rPr>
          <w:i/>
        </w:rPr>
        <w:t xml:space="preserve">Appraisal </w:t>
      </w:r>
      <w:r w:rsidRPr="008B0AAF">
        <w:rPr>
          <w:i/>
          <w:lang w:val="en"/>
        </w:rPr>
        <w:t>of Guidelines for Research &amp; Evaluation (AGREE II) Instrument</w:t>
      </w:r>
      <w:r>
        <w:t xml:space="preserve">. </w:t>
      </w:r>
    </w:p>
    <w:bookmarkEnd w:id="1"/>
    <w:p w:rsidR="00202C19" w:rsidRPr="002A660D" w:rsidRDefault="00202C19" w:rsidP="00202C19">
      <w:r>
        <w:t xml:space="preserve">Hard copies and electronic copies of each module are being made available free of charge from the NBA website. A pocket sized ‘Quick Reference Guide’ is also being published in these two formats.  Electronic copies meet the Web Content Accessibility Guidelines (WCAG) AA level of conformance.   </w:t>
      </w:r>
    </w:p>
    <w:p w:rsidR="000B0AB6" w:rsidRDefault="00B261BA" w:rsidP="00605034">
      <w:pPr>
        <w:pStyle w:val="Heading1"/>
        <w:pBdr>
          <w:top w:val="single" w:sz="48" w:space="0" w:color="D1282E"/>
        </w:pBdr>
      </w:pPr>
      <w:r>
        <w:lastRenderedPageBreak/>
        <w:t>Ensuring successful implementation</w:t>
      </w:r>
    </w:p>
    <w:p w:rsidR="00736313" w:rsidRDefault="00736313" w:rsidP="00736313">
      <w:pPr>
        <w:spacing w:after="0"/>
      </w:pPr>
      <w:r>
        <w:t xml:space="preserve">Previous studies </w:t>
      </w:r>
      <w:r w:rsidR="00DB5852" w:rsidRPr="00DB5852">
        <w:rPr>
          <w:vertAlign w:val="superscript"/>
        </w:rPr>
        <w:fldChar w:fldCharType="begin" w:fldLock="1"/>
      </w:r>
      <w:r w:rsidR="00D626DF">
        <w:rPr>
          <w:vertAlign w:val="superscript"/>
        </w:rPr>
        <w:instrText>ADDIN CSL_CITATION { "citationItems" : [ { "id" : "ITEM-1", "itemData" : { "abstract" : "BACKGROUND: Despite clinical guidelines penetrating every aspect of clinical practice and health policy, doubts persist over their ability to improve patient care. We have designed and tested a generic critical appraisal instrument, that assesses whether developers have minimized the biases inherent in creating guidelines, and addressed the requirements for effective implementation. DESIGN: Thirty-seven items describing suggested predictors of guideline quality were grouped into three dimensions covering the rigour of development, clarity of presentation (including the context and content) and implementation issues. The ease of use, reliability and validity of the instrument was tested on a national sample of guidelines for the management of asthma, breast cancer, depression and coronary heart disease, with 120 appraisers. A numerical score was derived to allow comparison of guidelines within and between diseases. RESULTS: The instrument has acceptable reliability (Cronbach's alpha coefficient, 0.68-0.84; intra-class correlation coefficient, (0.82-0.90)). The results provided some evidence of validity (Pearson's correlation coefficient between appraisers' dimension scores and their global assessment was 0.49 for dimension one, 0.63 for dimension two and 0.40 for dimension three). The instrument could differentiate between national and local guidelines and was easy to apply. There was variation in the performance of guidelines with most not achieving a majority of criteria in each dimension. CONCLUSIONS: Use of this instrument should encourage developers to create guidelines that reflect relevant research evidence more accurately. Potential users or groups adapting guidelines for local use could apply the instrument to help decide which one to follow. The National Health Service Executive is using the instrument to assist in deciding which guidelines to recommend to the UK National Health Service. This methodology forms the basis of a common approach to assessing guideline quality in Europe.", "author" : [ { "dropping-particle" : "", "family" : "Cluzeau", "given" : "F A", "non-dropping-particle" : "", "parse-names" : false, "suffix" : "" }, { "dropping-particle" : "", "family" : "Littlejohns", "given" : "P", "non-dropping-particle" : "", "parse-names" : false, "suffix" : "" }, { "dropping-particle" : "", "family" : "Grimshaw", "given" : "J M", "non-dropping-particle" : "", "parse-names" : false, "suffix" : "" }, { "dropping-particle" : "", "family" : "Feder", "given" : "G", "non-dropping-particle" : "", "parse-names" : false, "suffix" : "" }, { "dropping-particle" : "", "family" : "Moran", "given" : "S E", "non-dropping-particle" : "", "parse-names" : false, "suffix" : "" } ], "container-title" : "International journal for quality in health care : journal of the International Society for Quality in Health Care / ISQua", "id" : "ITEM-1", "issue" : "1", "issued" : { "date-parts" : [ [ "1999", "2" ] ] }, "page" : "21-28", "title" : "Development and application of a generic methodology to assess the quality of clinical guidelines.", "type" : "article-journal", "volume" : "11" }, "uris" : [ "http://www.mendeley.com/documents/?uuid=8b4e6a5a-b517-4114-b1c1-d6bf038c0fc2" ] } ], "mendeley" : { "previouslyFormattedCitation" : "&lt;sup&gt;9&lt;/sup&gt;"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9</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"abstract" : "PURPOSE: There is evidence that some strategies for guideline implementation are more successful than others. This paper aims to describe the process of developing an evidence-based guideline implementation strategy for use in rural emergency departments. DESIGN/METHODOLOGY/APPROACH: Participation in a nationally funded, research fellowship program involved attendance at workshops run by internationally renowned experts in the field of knowledge translation. Attendance at these workshops, associated reading and a literature review allowed those implementation strategies with the most supportive evidence of effectiveness to be determined. FINDINGS: A multi-faceted implementation strategy was developed. This strategy involved the use of an implementation team as well as addressing issues surrounding individual clinicians, the \"emergency department team\", the physical structure and processes of the ED and the culture of the department as a whole. Reminders, audit and feedback, education, the use of opinion leaders, and evidence-based formatting of guidelines were all integral to the process. PRACTICAL IMPLICATIONS: It is postulated that an evidence-based implementation strategy will lead to greater changes in clinician behaviour than other strategies used in quality improvement projects. ORIGINALITY/VALUE: This is an important article as it describes the concept and development of evidence-based interventions, which, if tailored to the individual hospital (as evidence-based medicine is tailored to the individual patient), has the potential to improve compliance with clinical guidelines beyond that achieved with most QI projects.", "author" : [ { "dropping-particle" : "", "family" : "Doherty", "given" : "Steven", "non-dropping-particle" : "", "parse-names" : false, "suffix" : "" } ], "container-title" : "International journal of health care quality assurance incorporating Leadership in health services", "id" : "ITEM-1", "issue" : "1", "issued" : { "date-parts" : [ [ "2006", "1" ] ] }, "page" : "32-41", "title" : "Evidence-based implementation of evidence-based guidelines.", "type" : "article-journal", "volume" : "19" }, "uris" : [ "http://www.mendeley.com/documents/?uuid=b87344fc-c44f-4859-9bbd-0bd8d9c85ba3" ] } ], "mendeley" : { "previouslyFormattedCitation" : "&lt;sup&gt;10&lt;/sup&gt;"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10</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"author" : [ { "dropping-particle" : "", "family" : "Grimshaw", "given" : "J M", "non-dropping-particle" : "", "parse-names" : false, "suffix" : "" }, { "dropping-particle" : "", "family" : "Thomson", "given" : "M A", "non-dropping-particle" : "", "parse-names" : false, "suffix" : "" } ], "container-title" : "Journal of the Royal Society of Medicine", "id" : "ITEM-1", "issued" : { "date-parts" : [ [ "1998", "1" ] ] }, "page" : "20-25", "title" : "What have new efforts to change professional practice achieved? Cochrane Effective Practice and Organization of Care Group.", "type" : "article-journal", "volume" : "91 Suppl 3" }, "uris" : [ "http://www.mendeley.com/documents/?uuid=40b806ae-a72c-4322-9ccf-425a26f5323e" ] } ], "mendeley" : { "previouslyFormattedCitation" : "&lt;sup&gt;11&lt;/sup&gt;"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11</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"abstract" : "BACKGROUND: Increasing recognition of the failure to translate research findings into practice has led to greater awareness of the importance of using active dissemination and implementation strategies. Although there is a growing body of research evidence about the effectiveness of different strategies, this is not easily accessible to policy makers and professionals. OBJECTIVES: To identify, appraise, and synthesize systematic reviews of professional educational or quality assurance interventions to improve quality of care. RESEARCH DESIGN: An overview was made of systematic reviews of professional behavior change interventions published between 1966 and 1998. RESULTS: Forty-one reviews were identified covering a wide range of interventions and behaviors. In general, passive approaches are generally ineffective and unlikely to result in behavior change. Most other interventions are effective under some circumstances; none are effective under all circumstances. Promising approaches include educational outreach (for prescribing) and reminders. Multifaceted interventions targeting different barriers to change are more likely to be effective than single interventions. CONCLUSIONS: Although the current evidence base is incomplete, it provides valuable insights into the likely effectiveness of different interventions. Future quality improvement or educational activities should be informed by the findings of systematic reviews of professional behavior change interventions.", "author" : [ { "dropping-particle" : "", "family" : "Grimshaw", "given" : "J M", "non-dropping-particle" : "", "parse-names" : false, "suffix" : "" }, { "dropping-particle" : "", "family" : "Shirran", "given" : "L", "non-dropping-particle" : "", "parse-names" : false, "suffix" : "" }, { "dropping-particle" : "", "family" : "Thomas", "given" : "R", "non-dropping-particle" : "", "parse-names" : false, "suffix" : "" }, { "dropping-particle" : "", "family" : "Mowatt", "given" : "G", "non-dropping-particle" : "", "parse-names" : false, "suffix" : "" }, { "dropping-particle" : "", "family" : "Fraser", "given" : "C", "non-dropping-particle" : "", "parse-names" : false, "suffix" : "" }, { "dropping-particle" : "", "family" : "Bero", "given" : "L", "non-dropping-particle" : "", "parse-names" : false, "suffix" : "" }, { "dropping-particle" : "", "family" : "Grilli", "given" : "R", "non-dropping-particle" : "", "parse-names" : false, "suffix" : "" }, { "dropping-particle" : "", "family" : "Harvey", "given" : "E", "non-dropping-particle" : "", "parse-names" : false, "suffix" : "" }, { "dropping-particle" : "", "family" : "Oxman", "given" : "A", "non-dropping-particle" : "", "parse-names" : false, "suffix" : "" }, { "dropping-particle" : "", "family" : "O'Brien", "given" : "M A", "non-dropping-particle" : "", "parse-names" : false, "suffix" : "" } ], "container-title" : "Medical care", "id" : "ITEM-1", "issue" : "8 Suppl 2", "issued" : { "date-parts" : [ [ "2001", "8" ] ] }, "page" : "II2--45", "title" : "Changing provider behavior: an overview of systematic reviews of interventions.", "type" : "article-journal", "volume" : "39" }, "uris" : [ "http://www.mendeley.com/documents/?uuid=fe03147b-4293-4a08-b089-a53844c15063" ] } ], "mendeley" : { "previouslyFormattedCitation" : "&lt;sup&gt;12&lt;/sup&gt;"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12</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"abstract" : "Clinical pathways have been implemented in many healthcare settings as a link between evidence and practice. Most published research concludes that when clinical pathways are implemented and used by health professionals, there is a positive impact on health outcomes. However, some research also suggests that utilization of clinical pathways by health professionals is low and that implementation strategies for linking evidence with clinical practice often prove to be weak or ineffective. This paper describes a before and after study to determine whether an interdisciplinary, genuinely collaborative, and evidence-based process of clinical pathway implementation resulted in increased documented use of an acute myocardial infarction (AMI) clinical pathway by health professionals in a regional Australian hospital. Underpinning the design and implementation process was the belief that true team involvement would lead to ownership, acceptance, and, ultimately, to increased usage of the pathway. Documented clinical pathway usage was measured in two ways: (1) the presence of the AMI clinical pathway in the medical records of patients diagnosed with an AMI and (2) the proportion of the AMI clinical pathway completed when it was present in the medical record. A total of 195 medical records of those diagnosed with an AMI were audited before (n = 124) and after (n = 71) the implementation process. The interdisciplinary, truly collaborative, and evidence-based implementation process resulted in a statistically significant increase in documented usage of the AMI pathway (22.6% vs. 57.7%; p &lt;.000). Results indicate that involvement of key users in the design and implementation of a clinical pathway significantly increases staff utilization of the document.", "author" : [ { "dropping-particle" : "", "family" : "Kinsman", "given" : "Leigh", "non-dropping-particle" : "", "parse-names" : false, "suffix" : "" }, { "dropping-particle" : "", "family" : "James", "given" : "Erica", "non-dropping-particle" : "", "parse-names" : false, "suffix" : "" }, { "dropping-particle" : "", "family" : "Ham", "given" : "Jennifer", "non-dropping-particle" : "", "parse-names" : false, "suffix" : "" } ], "container-title" : "Lippincott's case management : managing the process of patient care", "id" : "ITEM-1", "issue" : "4", "issued" : { "date-parts" : [ [ "0" ] ] }, "page" : "184-196", "title" : "An interdisciplinary, evidence-based process of clinical pathway implementation increases pathway usage.", "type" : "article-journal", "volume" : "9" }, "uris" : [ "http://www.mendeley.com/documents/?uuid=e8e204e5-a6ef-4850-b093-aeedb3a3d87a" ] } ], "mendeley" : { "previouslyFormattedCitation" : "&lt;sup&gt;13&lt;/sup&gt;"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13</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"abstract" : "PURPOSE: The relative effectiveness of the diverse approaches used to promote preventive care activities, such as cancer screening and adult immunization, is unknown. Despite many high-quality published studies, practices and policymakers attempting to improve preventive care have little definitive information on which to base decisions. Thus, we quantitatively assessed the relative effectiveness of previously studied approaches for improving adherence to adult immunization and cancer screening guidelines. DATA SOURCES: MEDLINE, the Cochrane Effective Practice and Organization of Care Review Group register, previous systematic reviews, and the Medicare Health Care Quality Improvement Project database. STUDY SELECTION: Controlled clinical trials that assessed interventions to increase use of immunizations for influenza and pneumococcal pneumonia and screening for colon, breast, and cervical cancer in adults. DATA EXTRACTION: Two reviewers independently extracted data on characteristics and outcomes from unmasked articles. Intervention components to increase use of services were classified as reminder, feedback, education, financial incentive, legislative action, organizational change, or mass media campaign. DATA SYNTHESIS: Of 552 abstracts and articles, 108 met the inclusion criteria. To assess the effect of intervention components, meta-regression models were developed for immunizations and each cancer screening service by using 81 studies with a usual care or control group. The most potent intervention types involved organizational change (the adjusted odds ratios for increased use of services from organizational change ranged from 2.47 to 17.6). Organizational change interventions included the use of separate clinics devoted to prevention, use of a planned care visit for prevention, or designation of nonphysician staff to do specific prevention activities. The next most effective intervention components were patient financial incentives (adjusted odds ratios, 1.82 to 3.42) and patient reminders (adjusted odds ratios, 1.74 to 2.75); the adjusted odds ratios ranged from 1.29 to 1.53 for patient education and from 1.10 to 1.76 for feedback. CONCLUSIONS: Rates of adult immunization and cancer screening are most likely to improve when a health care organization supports performance of these activities through organizational changes in staffing and clinical procedures. Involving patients in self-management through patient financial incentives and reminders\u2026", "author" : [ { "dropping-particle" : "", "family" : "Stone", "given" : "Erin G", "non-dropping-particle" : "", "parse-names" : false, "suffix" : "" }, { "dropping-particle" : "", "family" : "Morton", "given" : "Sally C", "non-dropping-particle" : "", "parse-names" : false, "suffix" : "" }, { "dropping-particle" : "", "family" : "Hulscher", "given" : "Marlies E", "non-dropping-particle" : "", "parse-names" : false, "suffix" : "" }, { "dropping-particle" : "", "family" : "Maglione", "given" : "Margaret A", "non-dropping-particle" : "", "parse-names" : false, "suffix" : "" }, { "dropping-particle" : "", "family" : "Roth", "given" : "Elizabeth A", "non-dropping-particle" : "", "parse-names" : false, "suffix" : "" }, { "dropping-particle" : "", "family" : "Grimshaw", "given" : "Jeremy M", "non-dropping-particle" : "", "parse-names" : false, "suffix" : "" }, { "dropping-particle" : "", "family" : "Mittman", "given" : "Brian S", "non-dropping-particle" : "", "parse-names" : false, "suffix" : "" }, { "dropping-particle" : "V", "family" : "Rubenstein", "given" : "Lisa", "non-dropping-particle" : "", "parse-names" : false, "suffix" : "" }, { "dropping-particle" : "", "family" : "Rubenstein", "given" : "Laurence Z", "non-dropping-particle" : "", "parse-names" : false, "suffix" : "" }, { "dropping-particle" : "", "family" : "Shekelle", "given" : "Paul G", "non-dropping-particle" : "", "parse-names" : false, "suffix" : "" } ], "container-title" : "Annals of internal medicine", "id" : "ITEM-1", "issue" : "9", "issued" : { "date-parts" : [ [ "2002", "5" ] ] }, "page" : "641-651", "title" : "Interventions that increase use of adult immunization and cancer screening services: a meta-analysis.", "type" : "article-journal", "volume" : "136" }, "uris" : [ "http://www.mendeley.com/documents/?uuid=2569161f-85e1-4db4-a216-943ad1333fd2" ] } ], "mendeley" : { "previouslyFormattedCitation" : "&lt;sup&gt;14&lt;/sup&gt;"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14</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"abstract" : "OBJECTIVE: To assess outcomes of using a clinical pathway for managing patients with fractured neck of femur. DESIGN: Prospective, pseudorandomised, controlled trial. SETTING: St Vincent's Hospital, Melbourne, Victoria (a tertiary referral, university teaching hospital), 1 October 1997 to 30 November 1998. PARTICIPANTS: 111 patients (80 women and 31 men; mean age, 81 years) admitted via the emergency department with a primary diagnosis of fractured neck of femur. INTERVENTIONS: Management guided by a clinical pathway (55 patients) or established standard of care (control group, 56 patients). MAIN OUTCOME MEASURES: Timing of referrals and discharge planning; total length of stay; and complication and readmission rates within 28 days of discharge. RESULTS: Patients managed according to the clinical pathway had a shorter total stay (6.6 versus 8.0 days; P = 0.03), even if assessment for placement by the Aged Care Assessment Service was required (9.5 versus 13.6 days; P = 0.03). There were no significant differences in complication and readmission rates between pathway and control patients (complication rates, 24% versus 36%; P = 0.40; readmission rates, 4% versus 11%; P = 0.28). CONCLUSION: Coordinated multidisciplinary care of patients with fractured neck of femur reduces length of stay without increasing complications.", "author" : [ { "dropping-particle" : "", "family" : "Choong", "given" : "P F", "non-dropping-particle" : "", "parse-names" : false, "suffix" : "" }, { "dropping-particle" : "", "family" : "Langford", "given" : "A K", "non-dropping-particle" : "", "parse-names" : false, "suffix" : "" }, { "dropping-particle" : "", "family" : "Dowsey", "given" : "M M", "non-dropping-particle" : "", "parse-names" : false, "suffix" : "" }, { "dropping-particle" : "", "family" : "Santamaria", "given" : "N M", "non-dropping-particle" : "", "parse-names" : false, "suffix" : "" } ], "container-title" : "The Medical journal of Australia", "id" : "ITEM-1", "issue" : "9", "issued" : { "date-parts" : [ [ "2000", "5" ] ] }, "page" : "423-426", "title" : "Clinical pathway for fractured neck of femur: a prospective, controlled study.", "type" : "article-journal", "volume" : "172" }, "uris" : [ "http://www.mendeley.com/documents/?uuid=ab8d7002-4f38-4118-8557-28c5410d1ef9" ] } ], "mendeley" : { "previouslyFormattedCitation" : "&lt;sup&gt;15&lt;/sup&gt;"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15</w:t>
      </w:r>
      <w:r w:rsidR="00DB5852" w:rsidRPr="00DB5852">
        <w:rPr>
          <w:vertAlign w:val="superscript"/>
        </w:rPr>
        <w:fldChar w:fldCharType="end"/>
      </w:r>
      <w:r w:rsidR="00DB5852" w:rsidRPr="00DB5852">
        <w:rPr>
          <w:vertAlign w:val="superscript"/>
        </w:rPr>
        <w:t>,</w:t>
      </w:r>
      <w:r w:rsidR="00DB5852" w:rsidRPr="00DB5852">
        <w:rPr>
          <w:vertAlign w:val="superscript"/>
        </w:rPr>
        <w:fldChar w:fldCharType="begin" w:fldLock="1"/>
      </w:r>
      <w:r w:rsidR="00D626DF">
        <w:rPr>
          <w:vertAlign w:val="superscript"/>
        </w:rPr>
        <w:instrText>ADDIN CSL_CITATION { "citationItems" : [ { "id" : "ITEM-1", "itemData" : { "DOI" : "10.1002/14651858.CD000259.pub2", "abstract" : "BACKGROUND: Audit and feedback continues to be widely used as a strategy to improve professional practice. It appears logical that healthcare professionals would be prompted to modify their practice if given feedback that their clinical practice was inconsistent with that of their peers or accepted guidelines. Yet, audit and feedback has not consistently been found to be effective. OBJECTIVES: To assess the effects of audit and feedback on the practice of healthcare professionals and patient outcomes. SEARCH STRATEGY: We searched the Cochrane Effective Practice and Organisation of Care Group's register and pending file up to January 2004. SELECTION CRITERIA: Randomised trials of audit and feedback (defined as any summary of clinical performance over a specified period of time) that reported objectively measured professional practice in a healthcare setting or healthcare outcomes. DATA COLLECTION AND ANALYSIS: Two reviewers independently extracted data and assessed study quality. Quantitative (meta-regression), visual and qualitative analyses were undertaken. For each comparison we calculated the risk difference (RD) and risk ratio (RR), adjusted for baseline compliance when possible, for dichotomous outcomes and the percentage and the percent change relative to the control group average after the intervention, adjusted for baseline performance when possible, for continuous outcomes. We investigated the following factors as possible explanations for the variation in the effectiveness of interventions across comparisons: the type of intervention (audit and feedback alone, audit and feedback with educational meetings, or multifaceted interventions that included audit and feedback), the intensity of the audit and feedback, the complexity of the targeted behaviour, the seriousness of the outcome, baseline compliance and study quality. MAIN RESULTS: Thirty new studies were added to this update, and a total of 118 studies are included. In the primary analysis 88 comparisons from 72 studies were included that compared any intervention in which audit and feedback is a component compared to no intervention. For dichotomous outcomes the adjusted risk difference of compliance with desired practice varied from - 0.16 (a 16 % absolute decrease in compliance) to 0.70 (a 70% increase in compliance) (median = 0.05, inter-quartile range = 0.03 to 0.11) and the adjusted risk ratio varied from 0.71 to 18.3 (median = 1.08, inter-quartile range = 0.99 to 1.30). For continuou\u2026", "author" : [ { "dropping-particle" : "", "family" : "Jamtvedt", "given" : "G", "non-dropping-particle" : "", "parse-names" : false, "suffix" : "" }, { "dropping-particle" : "", "family" : "Young", "given" : "J M", "non-dropping-particle" : "", "parse-names" : false, "suffix" : "" }, { "dropping-particle" : "", "family" : "Kristoffersen", "given" : "D T", "non-dropping-particle" : "", "parse-names" : false, "suffix" : "" }, { "dropping-particle" : "", "family" : "O'Brien", "given" : "M A", "non-dropping-particle" : "", "parse-names" : false, "suffix" : "" }, { "dropping-particle" : "", "family" : "Oxman", "given" : "A D", "non-dropping-particle" : "", "parse-names" : false, "suffix" : "" } ], "container-title" : "The Cochrane database of systematic reviews", "id" : "ITEM-1", "issue" : "2", "issued" : { "date-parts" : [ [ "2006", "1" ] ] }, "page" : "CD000259", "title" : "Audit and feedback: effects on professional practice and health care outcomes.", "type" : "article-journal" }, "uris" : [ "http://www.mendeley.com/documents/?uuid=57dc7c4a-672a-4b1d-adfe-1529d97e68f6" ] } ], "mendeley" : { "previouslyFormattedCitation" : "&lt;sup&gt;16&lt;/sup&gt;" }, "properties" : { "noteIndex" : 0 }, "schema" : "https://github.com/citation-style-language/schema/raw/master/csl-citation.json" }</w:instrText>
      </w:r>
      <w:r w:rsidR="00DB5852" w:rsidRPr="00DB5852">
        <w:rPr>
          <w:vertAlign w:val="superscript"/>
        </w:rPr>
        <w:fldChar w:fldCharType="separate"/>
      </w:r>
      <w:r w:rsidR="00D626DF" w:rsidRPr="00D626DF">
        <w:rPr>
          <w:noProof/>
          <w:vertAlign w:val="superscript"/>
        </w:rPr>
        <w:t>16</w:t>
      </w:r>
      <w:r w:rsidR="00DB5852" w:rsidRPr="00DB5852">
        <w:rPr>
          <w:vertAlign w:val="superscript"/>
        </w:rPr>
        <w:fldChar w:fldCharType="end"/>
      </w:r>
      <w:r w:rsidR="00DB5852">
        <w:t xml:space="preserve"> </w:t>
      </w:r>
      <w:r>
        <w:t xml:space="preserve">examining the effectiveness of strategies to change clinical practice have demonstrated that efforts are more likely to be effective if they use a multifaceted approach that includes </w:t>
      </w:r>
      <w:r w:rsidR="00B261BA">
        <w:t xml:space="preserve">a range of </w:t>
      </w:r>
      <w:r>
        <w:t xml:space="preserve">the following features: </w:t>
      </w:r>
    </w:p>
    <w:p w:rsidR="00736313" w:rsidRDefault="00FD0DC2" w:rsidP="00FD0DC2">
      <w:pPr>
        <w:pStyle w:val="ListParagraph"/>
        <w:numPr>
          <w:ilvl w:val="0"/>
          <w:numId w:val="36"/>
        </w:numPr>
      </w:pPr>
      <w:r>
        <w:t>evidence based content</w:t>
      </w:r>
    </w:p>
    <w:p w:rsidR="00B261BA" w:rsidRDefault="00B261BA" w:rsidP="00FD0DC2">
      <w:pPr>
        <w:pStyle w:val="ListParagraph"/>
        <w:numPr>
          <w:ilvl w:val="0"/>
          <w:numId w:val="36"/>
        </w:numPr>
      </w:pPr>
      <w:r>
        <w:t>adapt</w:t>
      </w:r>
      <w:r w:rsidR="00FD0DC2">
        <w:t>ation for local use</w:t>
      </w:r>
    </w:p>
    <w:p w:rsidR="00B261BA" w:rsidRDefault="00A7360D" w:rsidP="00FD0DC2">
      <w:pPr>
        <w:pStyle w:val="ListParagraph"/>
        <w:numPr>
          <w:ilvl w:val="0"/>
          <w:numId w:val="36"/>
        </w:numPr>
      </w:pPr>
      <w:r w:rsidRPr="00FD0DC2">
        <w:t>effective data collection systems to assess and feedback statistics by specialty and clinician</w:t>
      </w:r>
    </w:p>
    <w:p w:rsidR="00736313" w:rsidRDefault="00736313" w:rsidP="00FD0DC2">
      <w:pPr>
        <w:pStyle w:val="ListParagraph"/>
        <w:numPr>
          <w:ilvl w:val="0"/>
          <w:numId w:val="36"/>
        </w:numPr>
      </w:pPr>
      <w:r>
        <w:t>clinician involvement i</w:t>
      </w:r>
      <w:r w:rsidR="00FD0DC2">
        <w:t>n Clinical Pathway development</w:t>
      </w:r>
    </w:p>
    <w:p w:rsidR="00736313" w:rsidRDefault="00736313" w:rsidP="00FD0DC2">
      <w:pPr>
        <w:pStyle w:val="ListParagraph"/>
        <w:numPr>
          <w:ilvl w:val="0"/>
          <w:numId w:val="36"/>
        </w:numPr>
      </w:pPr>
      <w:proofErr w:type="gramStart"/>
      <w:r>
        <w:t>use</w:t>
      </w:r>
      <w:proofErr w:type="gramEnd"/>
      <w:r>
        <w:t xml:space="preserve"> of an implementation team (e.g. local clinical c</w:t>
      </w:r>
      <w:r w:rsidR="00B261BA">
        <w:t xml:space="preserve">hange team at the local level). In PBM </w:t>
      </w:r>
      <w:r w:rsidR="00B261BA" w:rsidRPr="00FD0DC2">
        <w:t xml:space="preserve">identifying and engaging multiple disciplines </w:t>
      </w:r>
      <w:r w:rsidR="00675633">
        <w:t>(e.g.</w:t>
      </w:r>
      <w:r w:rsidR="00B261BA" w:rsidRPr="00FD0DC2">
        <w:t xml:space="preserve"> anaesthetists taking a major role in perioperative care</w:t>
      </w:r>
      <w:r w:rsidR="00675633">
        <w:t>)</w:t>
      </w:r>
      <w:r w:rsidR="00B261BA" w:rsidRPr="00FD0DC2">
        <w:t xml:space="preserve"> has been reported to</w:t>
      </w:r>
      <w:r w:rsidR="00FD0DC2">
        <w:t xml:space="preserve"> demonstrate particular success</w:t>
      </w:r>
    </w:p>
    <w:p w:rsidR="00736313" w:rsidRDefault="00736313" w:rsidP="00FD0DC2">
      <w:pPr>
        <w:pStyle w:val="ListParagraph"/>
        <w:numPr>
          <w:ilvl w:val="0"/>
          <w:numId w:val="36"/>
        </w:numPr>
      </w:pPr>
      <w:r>
        <w:t>evidence-practice gap identifi</w:t>
      </w:r>
      <w:r w:rsidR="00FD0DC2">
        <w:t>cation prior to implementation</w:t>
      </w:r>
    </w:p>
    <w:p w:rsidR="00736313" w:rsidRDefault="00736313" w:rsidP="00FD0DC2">
      <w:pPr>
        <w:pStyle w:val="ListParagraph"/>
        <w:numPr>
          <w:ilvl w:val="0"/>
          <w:numId w:val="36"/>
        </w:numPr>
      </w:pPr>
      <w:r>
        <w:t>identification of poten</w:t>
      </w:r>
      <w:r w:rsidR="00FD0DC2">
        <w:t>tial barriers to change</w:t>
      </w:r>
    </w:p>
    <w:p w:rsidR="00736313" w:rsidRDefault="00736313" w:rsidP="00FD0DC2">
      <w:pPr>
        <w:pStyle w:val="ListParagraph"/>
        <w:numPr>
          <w:ilvl w:val="0"/>
          <w:numId w:val="36"/>
        </w:numPr>
      </w:pPr>
      <w:r>
        <w:t>inc</w:t>
      </w:r>
      <w:r w:rsidR="00FD0DC2">
        <w:t>orporation of reminder systems</w:t>
      </w:r>
    </w:p>
    <w:p w:rsidR="00736313" w:rsidRDefault="00736313" w:rsidP="00FD0DC2">
      <w:pPr>
        <w:pStyle w:val="ListParagraph"/>
        <w:numPr>
          <w:ilvl w:val="0"/>
          <w:numId w:val="36"/>
        </w:numPr>
      </w:pPr>
      <w:r>
        <w:t xml:space="preserve">use of </w:t>
      </w:r>
      <w:r w:rsidR="00B261BA">
        <w:t xml:space="preserve">ongoing </w:t>
      </w:r>
      <w:r>
        <w:t xml:space="preserve">education </w:t>
      </w:r>
      <w:r w:rsidR="00B261BA">
        <w:t>and communication</w:t>
      </w:r>
    </w:p>
    <w:p w:rsidR="00736313" w:rsidRDefault="00736313" w:rsidP="00FD0DC2">
      <w:pPr>
        <w:pStyle w:val="ListParagraph"/>
        <w:numPr>
          <w:ilvl w:val="0"/>
          <w:numId w:val="36"/>
        </w:numPr>
      </w:pPr>
      <w:proofErr w:type="gramStart"/>
      <w:r>
        <w:t>use</w:t>
      </w:r>
      <w:proofErr w:type="gramEnd"/>
      <w:r>
        <w:t xml:space="preserve"> of </w:t>
      </w:r>
      <w:r w:rsidR="00B261BA">
        <w:t>effective clinical leadership</w:t>
      </w:r>
      <w:r w:rsidR="008A63D1">
        <w:t>,</w:t>
      </w:r>
      <w:r w:rsidR="00B261BA">
        <w:t xml:space="preserve"> includi</w:t>
      </w:r>
      <w:r w:rsidR="00B261BA" w:rsidRPr="00D75DF7">
        <w:t xml:space="preserve">ng </w:t>
      </w:r>
      <w:r w:rsidRPr="00D75DF7">
        <w:t>local opinions leaders</w:t>
      </w:r>
      <w:r w:rsidR="008A63D1">
        <w:t>,</w:t>
      </w:r>
      <w:r w:rsidRPr="00D75DF7">
        <w:t xml:space="preserve"> as part</w:t>
      </w:r>
      <w:r>
        <w:t xml:space="preserve"> of </w:t>
      </w:r>
      <w:r w:rsidR="00B261BA">
        <w:t>a structured program</w:t>
      </w:r>
      <w:r>
        <w:t xml:space="preserve">. </w:t>
      </w:r>
    </w:p>
    <w:p w:rsidR="00256908" w:rsidRDefault="00A7360D" w:rsidP="00256908">
      <w:pPr>
        <w:rPr>
          <w:rFonts w:cstheme="minorHAnsi"/>
        </w:rPr>
      </w:pPr>
      <w:r>
        <w:rPr>
          <w:rFonts w:cstheme="minorHAnsi"/>
        </w:rPr>
        <w:t xml:space="preserve">Of specific importance to the implementation of PBM is the </w:t>
      </w:r>
      <w:r w:rsidR="00736313" w:rsidRPr="00A7360D">
        <w:rPr>
          <w:rFonts w:cstheme="minorHAnsi"/>
        </w:rPr>
        <w:t>develop</w:t>
      </w:r>
      <w:r>
        <w:rPr>
          <w:rFonts w:cstheme="minorHAnsi"/>
        </w:rPr>
        <w:t>ment of</w:t>
      </w:r>
      <w:r w:rsidR="00736313" w:rsidRPr="00A7360D">
        <w:rPr>
          <w:rFonts w:cstheme="minorHAnsi"/>
        </w:rPr>
        <w:t xml:space="preserve"> policies and procedures for the multimodal approach including a perioperative</w:t>
      </w:r>
      <w:r>
        <w:rPr>
          <w:rFonts w:cstheme="minorHAnsi"/>
        </w:rPr>
        <w:t xml:space="preserve"> </w:t>
      </w:r>
      <w:r w:rsidR="00736313" w:rsidRPr="00A7360D">
        <w:rPr>
          <w:rFonts w:cstheme="minorHAnsi"/>
        </w:rPr>
        <w:t>anaemia/iron-deficiency identification, evaluat</w:t>
      </w:r>
      <w:r w:rsidR="00F63F99">
        <w:rPr>
          <w:rFonts w:cstheme="minorHAnsi"/>
        </w:rPr>
        <w:t xml:space="preserve">ion and management </w:t>
      </w:r>
      <w:proofErr w:type="gramStart"/>
      <w:r w:rsidR="00F63F99">
        <w:rPr>
          <w:rFonts w:cstheme="minorHAnsi"/>
        </w:rPr>
        <w:t>program</w:t>
      </w:r>
      <w:r>
        <w:rPr>
          <w:rFonts w:cstheme="minorHAnsi"/>
        </w:rPr>
        <w:t>.</w:t>
      </w:r>
      <w:proofErr w:type="gramEnd"/>
    </w:p>
    <w:p w:rsidR="00736313" w:rsidRPr="00256908" w:rsidRDefault="00736313" w:rsidP="00256908">
      <w:pPr>
        <w:rPr>
          <w:rFonts w:cstheme="minorHAnsi"/>
        </w:rPr>
      </w:pPr>
      <w:r>
        <w:t xml:space="preserve">The strategy to implement the PBM Guidelines described below incorporates the above features.  </w:t>
      </w:r>
    </w:p>
    <w:p w:rsidR="008D0153" w:rsidRDefault="008D0153">
      <w:pPr>
        <w:spacing w:after="0"/>
        <w:rPr>
          <w:rFonts w:cs="Arial"/>
        </w:rPr>
      </w:pPr>
      <w:r>
        <w:rPr>
          <w:rFonts w:cs="Arial"/>
        </w:rPr>
        <w:br w:type="page"/>
      </w:r>
    </w:p>
    <w:p w:rsidR="008D0153" w:rsidRDefault="00D33307" w:rsidP="00605034">
      <w:pPr>
        <w:pStyle w:val="Heading1"/>
        <w:spacing w:before="360"/>
        <w:ind w:right="6"/>
      </w:pPr>
      <w:r w:rsidRPr="00FD0DC2">
        <w:lastRenderedPageBreak/>
        <w:t>The Strategy</w:t>
      </w:r>
    </w:p>
    <w:p w:rsidR="006C67D4" w:rsidRDefault="008D67DE" w:rsidP="00FD0DC2">
      <w:r>
        <w:t>The national strategy for implementation of the PBM Guidelines</w:t>
      </w:r>
      <w:r w:rsidR="00915F19">
        <w:t xml:space="preserve"> </w:t>
      </w:r>
      <w:r>
        <w:t>is multi-faceted and collaborative in nature. The core element of the strategy is to facilitate activities and development of materials</w:t>
      </w:r>
      <w:r w:rsidR="00E00454">
        <w:t xml:space="preserve"> at a national level</w:t>
      </w:r>
      <w:r>
        <w:t xml:space="preserve"> that support implementation at a </w:t>
      </w:r>
      <w:r w:rsidR="00915F19">
        <w:t>health provider</w:t>
      </w:r>
      <w:r>
        <w:t xml:space="preserve"> level under respective jurisdictional arrangements.</w:t>
      </w:r>
      <w:r w:rsidR="00664E72">
        <w:t xml:space="preserve"> The approach will be to draw on existing best practice to develop a range of reference tools and collaboration mechanisms to enable health providers to examine their own practice and choose from the suite of tools for local customisation, branding and adoption where appropriate. </w:t>
      </w:r>
      <w:r w:rsidR="006C67D4">
        <w:t>This will be supplemented by some national activities where appropriate and effective.</w:t>
      </w:r>
    </w:p>
    <w:p w:rsidR="006C67D4" w:rsidRDefault="006C67D4" w:rsidP="00FD0DC2">
      <w:r>
        <w:t>Recognising the existing strong relationships between public health providers and the State and Territory governments, State and Territory governments will take the lead in coordination and communication with public health providers with the NBA acting in a supporting capacity. The NBA will assume a greater role with public health providers in specific instances w</w:t>
      </w:r>
      <w:r w:rsidR="00256908">
        <w:t>here requested by the relevant state or t</w:t>
      </w:r>
      <w:r>
        <w:t xml:space="preserve">erritory government. </w:t>
      </w:r>
    </w:p>
    <w:p w:rsidR="006C67D4" w:rsidRDefault="006C67D4" w:rsidP="00FD0DC2">
      <w:r>
        <w:t>Governments recognise the different relationships and largely national approach of the majority of private health providers</w:t>
      </w:r>
      <w:r w:rsidR="00B66568">
        <w:t xml:space="preserve"> including primary health care providers</w:t>
      </w:r>
      <w:r>
        <w:t>. The NBA will take</w:t>
      </w:r>
      <w:r w:rsidR="00B05B14">
        <w:t xml:space="preserve"> a greater</w:t>
      </w:r>
      <w:r>
        <w:t xml:space="preserve"> lead </w:t>
      </w:r>
      <w:r w:rsidR="00B05B14">
        <w:t xml:space="preserve">role </w:t>
      </w:r>
      <w:r>
        <w:t xml:space="preserve">in coordination and communication with private health providers at a national and local level. </w:t>
      </w:r>
    </w:p>
    <w:p w:rsidR="00ED7C3F" w:rsidRDefault="00ED7C3F" w:rsidP="00ED7C3F">
      <w:r w:rsidRPr="00ED7C3F">
        <w:t xml:space="preserve">With the publication </w:t>
      </w:r>
      <w:r>
        <w:t>and</w:t>
      </w:r>
      <w:r w:rsidRPr="00ED7C3F">
        <w:t xml:space="preserve"> implementation of the new National Safety and Quality Health Service Standards for </w:t>
      </w:r>
      <w:r w:rsidR="004411D3">
        <w:t xml:space="preserve">hospital </w:t>
      </w:r>
      <w:r w:rsidRPr="00ED7C3F">
        <w:t>accreditation</w:t>
      </w:r>
      <w:r w:rsidR="004411D3">
        <w:t xml:space="preserve"> and </w:t>
      </w:r>
      <w:r>
        <w:t xml:space="preserve">one </w:t>
      </w:r>
      <w:r w:rsidRPr="00ED7C3F">
        <w:t>devote</w:t>
      </w:r>
      <w:r>
        <w:t xml:space="preserve">d entirely </w:t>
      </w:r>
      <w:r w:rsidRPr="00ED7C3F">
        <w:t xml:space="preserve">to Blood and Blood Products, the demand for supportive </w:t>
      </w:r>
      <w:r>
        <w:t xml:space="preserve">tools, </w:t>
      </w:r>
      <w:r w:rsidRPr="00ED7C3F">
        <w:t>education, training</w:t>
      </w:r>
      <w:r>
        <w:t>, data</w:t>
      </w:r>
      <w:r w:rsidRPr="00ED7C3F">
        <w:t xml:space="preserve"> and information resources has risen. The </w:t>
      </w:r>
      <w:r>
        <w:t>PBM Implementation Strategy will endeavour to develop and implement h</w:t>
      </w:r>
      <w:r w:rsidRPr="00ED7C3F">
        <w:t xml:space="preserve">igh quality, well-tailored </w:t>
      </w:r>
      <w:r>
        <w:t>tools</w:t>
      </w:r>
      <w:r w:rsidRPr="00ED7C3F">
        <w:t>,</w:t>
      </w:r>
      <w:r>
        <w:t xml:space="preserve"> education,</w:t>
      </w:r>
      <w:r w:rsidRPr="00ED7C3F">
        <w:t xml:space="preserve"> training and health promotion materials to support the implementation of evidence-based practice and attainment of health service accreditation under the new National Safety and Quality Health Service Standards</w:t>
      </w:r>
      <w:r w:rsidR="00DB5852">
        <w:fldChar w:fldCharType="begin" w:fldLock="1"/>
      </w:r>
      <w:r w:rsidR="00D626DF">
        <w:instrText>ADDIN CSL_CITATION { "citationItems" : [ { "id" : "ITEM-1", "itemData" : { "author" : [ { "dropping-particle" : "", "family" : "Australian Commission on Safety and Quality in Health Care", "given" : "", "non-dropping-particle" : "", "parse-names" : false, "suffix" : "" } ], "id" : "ITEM-1", "issued" : { "date-parts" : [ [ "0" ] ] }, "title" : "Australian Commission on Safety and Quality in Health Care", "type" : "article" }, "uris" : [ "http://www.mendeley.com/documents/?uuid=2331b33a-a068-4e9c-b903-d1fe8550ff65" ] } ], "mendeley" : { "previouslyFormattedCitation" : "&lt;sup&gt;17&lt;/sup&gt;" }, "properties" : { "noteIndex" : 0 }, "schema" : "https://github.com/citation-style-language/schema/raw/master/csl-citation.json" }</w:instrText>
      </w:r>
      <w:r w:rsidR="00DB5852">
        <w:fldChar w:fldCharType="separate"/>
      </w:r>
      <w:r w:rsidR="00D626DF" w:rsidRPr="00D626DF">
        <w:rPr>
          <w:noProof/>
          <w:vertAlign w:val="superscript"/>
        </w:rPr>
        <w:t>17</w:t>
      </w:r>
      <w:r w:rsidR="00DB5852">
        <w:fldChar w:fldCharType="end"/>
      </w:r>
      <w:r w:rsidRPr="00ED7C3F">
        <w:t>.</w:t>
      </w:r>
    </w:p>
    <w:p w:rsidR="00B05B14" w:rsidRDefault="00B05B14" w:rsidP="00FD0DC2">
      <w:r>
        <w:t xml:space="preserve">The support activity program and development and adoption of national reference tools will be guided by the PBM Steering Committee, consisting of Jurisdictional and relevant experts drawn from across the sector. </w:t>
      </w:r>
    </w:p>
    <w:p w:rsidR="00EA18F7" w:rsidRDefault="00EA18F7" w:rsidP="00FD0DC2">
      <w:r>
        <w:t>Activities under the national strategy for implementation of the PBM Guidelines are grouped</w:t>
      </w:r>
      <w:r w:rsidR="00CB38F5">
        <w:t xml:space="preserve"> </w:t>
      </w:r>
      <w:r>
        <w:t xml:space="preserve">into </w:t>
      </w:r>
      <w:r w:rsidR="001B7FFC">
        <w:t>four</w:t>
      </w:r>
      <w:r w:rsidR="00B361E4">
        <w:t xml:space="preserve"> </w:t>
      </w:r>
      <w:r>
        <w:t>main elements</w:t>
      </w:r>
      <w:r w:rsidR="00B25E4D">
        <w:t>:</w:t>
      </w:r>
    </w:p>
    <w:p w:rsidR="007F2C03" w:rsidRDefault="0096562F" w:rsidP="007F2C03">
      <w:pPr>
        <w:pStyle w:val="ListParagraph"/>
        <w:numPr>
          <w:ilvl w:val="0"/>
          <w:numId w:val="11"/>
        </w:numPr>
        <w:spacing w:before="120" w:after="120"/>
        <w:ind w:left="567" w:hanging="567"/>
        <w:contextualSpacing w:val="0"/>
        <w:rPr>
          <w:rFonts w:asciiTheme="minorHAnsi" w:hAnsiTheme="minorHAnsi" w:cstheme="minorHAnsi"/>
        </w:rPr>
      </w:pPr>
      <w:r>
        <w:rPr>
          <w:rFonts w:asciiTheme="minorHAnsi" w:hAnsiTheme="minorHAnsi" w:cstheme="minorHAnsi"/>
          <w:b/>
        </w:rPr>
        <w:t>PBM</w:t>
      </w:r>
      <w:r w:rsidR="007F2C03" w:rsidRPr="00EA18F7">
        <w:rPr>
          <w:rFonts w:asciiTheme="minorHAnsi" w:hAnsiTheme="minorHAnsi" w:cstheme="minorHAnsi"/>
          <w:b/>
        </w:rPr>
        <w:t xml:space="preserve"> Tools.</w:t>
      </w:r>
      <w:r w:rsidR="007F2C03" w:rsidRPr="00EA18F7">
        <w:rPr>
          <w:rFonts w:asciiTheme="minorHAnsi" w:hAnsiTheme="minorHAnsi" w:cstheme="minorHAnsi"/>
        </w:rPr>
        <w:t xml:space="preserve"> The identification, development and promotion of</w:t>
      </w:r>
      <w:r w:rsidR="007F2C03">
        <w:rPr>
          <w:rFonts w:asciiTheme="minorHAnsi" w:hAnsiTheme="minorHAnsi" w:cstheme="minorHAnsi"/>
        </w:rPr>
        <w:t xml:space="preserve"> a national</w:t>
      </w:r>
      <w:r w:rsidR="007F2C03" w:rsidRPr="00EA18F7">
        <w:rPr>
          <w:rFonts w:asciiTheme="minorHAnsi" w:hAnsiTheme="minorHAnsi" w:cstheme="minorHAnsi"/>
        </w:rPr>
        <w:t xml:space="preserve"> </w:t>
      </w:r>
      <w:r w:rsidR="007F2C03">
        <w:rPr>
          <w:rFonts w:asciiTheme="minorHAnsi" w:hAnsiTheme="minorHAnsi" w:cstheme="minorHAnsi"/>
        </w:rPr>
        <w:t>reference set of</w:t>
      </w:r>
      <w:r w:rsidR="007F2C03" w:rsidRPr="00EA18F7">
        <w:rPr>
          <w:rFonts w:asciiTheme="minorHAnsi" w:hAnsiTheme="minorHAnsi" w:cstheme="minorHAnsi"/>
        </w:rPr>
        <w:t xml:space="preserve"> best practice tools to support </w:t>
      </w:r>
      <w:r w:rsidR="007F2C03">
        <w:rPr>
          <w:rFonts w:asciiTheme="minorHAnsi" w:hAnsiTheme="minorHAnsi" w:cstheme="minorHAnsi"/>
        </w:rPr>
        <w:t xml:space="preserve">PBM Guideline implementation, including </w:t>
      </w:r>
      <w:r w:rsidR="007F2C03" w:rsidRPr="00EA18F7">
        <w:rPr>
          <w:rFonts w:asciiTheme="minorHAnsi" w:hAnsiTheme="minorHAnsi" w:cstheme="minorHAnsi"/>
        </w:rPr>
        <w:t>the development of effective feedback mechanisms and improvement loops</w:t>
      </w:r>
      <w:r w:rsidR="00A11101">
        <w:rPr>
          <w:rFonts w:asciiTheme="minorHAnsi" w:hAnsiTheme="minorHAnsi" w:cstheme="minorHAnsi"/>
        </w:rPr>
        <w:t>;</w:t>
      </w:r>
    </w:p>
    <w:p w:rsidR="00A11101" w:rsidRPr="00EA18F7" w:rsidRDefault="00A11101" w:rsidP="007F2C03">
      <w:pPr>
        <w:pStyle w:val="ListParagraph"/>
        <w:numPr>
          <w:ilvl w:val="0"/>
          <w:numId w:val="11"/>
        </w:numPr>
        <w:spacing w:before="120" w:after="120"/>
        <w:ind w:left="567" w:hanging="567"/>
        <w:contextualSpacing w:val="0"/>
        <w:rPr>
          <w:rFonts w:asciiTheme="minorHAnsi" w:hAnsiTheme="minorHAnsi" w:cstheme="minorHAnsi"/>
        </w:rPr>
      </w:pPr>
      <w:r w:rsidRPr="00EA18F7">
        <w:rPr>
          <w:rFonts w:asciiTheme="minorHAnsi" w:hAnsiTheme="minorHAnsi" w:cstheme="minorHAnsi"/>
          <w:b/>
        </w:rPr>
        <w:t>Education and Training.</w:t>
      </w:r>
      <w:r w:rsidRPr="00EA18F7">
        <w:rPr>
          <w:rFonts w:asciiTheme="minorHAnsi" w:hAnsiTheme="minorHAnsi" w:cstheme="minorHAnsi"/>
        </w:rPr>
        <w:t xml:space="preserve"> Establishment of a supporting education and training framework</w:t>
      </w:r>
      <w:r>
        <w:rPr>
          <w:rFonts w:asciiTheme="minorHAnsi" w:hAnsiTheme="minorHAnsi" w:cstheme="minorHAnsi"/>
        </w:rPr>
        <w:t>;</w:t>
      </w:r>
    </w:p>
    <w:p w:rsidR="00EA18F7" w:rsidRDefault="00EA18F7" w:rsidP="00EA18F7">
      <w:pPr>
        <w:pStyle w:val="ListParagraph"/>
        <w:numPr>
          <w:ilvl w:val="0"/>
          <w:numId w:val="11"/>
        </w:numPr>
        <w:spacing w:before="120" w:after="120"/>
        <w:ind w:left="567" w:hanging="567"/>
        <w:contextualSpacing w:val="0"/>
        <w:rPr>
          <w:rFonts w:asciiTheme="minorHAnsi" w:hAnsiTheme="minorHAnsi" w:cstheme="minorHAnsi"/>
        </w:rPr>
      </w:pPr>
      <w:r w:rsidRPr="00EA18F7">
        <w:rPr>
          <w:rFonts w:asciiTheme="minorHAnsi" w:hAnsiTheme="minorHAnsi" w:cstheme="minorHAnsi"/>
          <w:b/>
        </w:rPr>
        <w:t>Promotion</w:t>
      </w:r>
      <w:r>
        <w:rPr>
          <w:rFonts w:asciiTheme="minorHAnsi" w:hAnsiTheme="minorHAnsi" w:cstheme="minorHAnsi"/>
          <w:b/>
        </w:rPr>
        <w:t>/Communication</w:t>
      </w:r>
      <w:r w:rsidRPr="00EA18F7">
        <w:rPr>
          <w:rFonts w:asciiTheme="minorHAnsi" w:hAnsiTheme="minorHAnsi" w:cstheme="minorHAnsi"/>
          <w:b/>
        </w:rPr>
        <w:t xml:space="preserve">. </w:t>
      </w:r>
      <w:r w:rsidRPr="00EA18F7">
        <w:rPr>
          <w:rFonts w:asciiTheme="minorHAnsi" w:hAnsiTheme="minorHAnsi" w:cstheme="minorHAnsi"/>
        </w:rPr>
        <w:t>Targeted promotional campaigns and materials to raise awareness and motivate health provider, clinician and patient interest. The campaigns will generate an increased appetite for change</w:t>
      </w:r>
      <w:r w:rsidR="00B361E4">
        <w:rPr>
          <w:rFonts w:asciiTheme="minorHAnsi" w:hAnsiTheme="minorHAnsi" w:cstheme="minorHAnsi"/>
        </w:rPr>
        <w:t>.  Networks will be encouraged through online opportunities and conferences.</w:t>
      </w:r>
    </w:p>
    <w:p w:rsidR="007F51BA" w:rsidRDefault="007F51BA" w:rsidP="00EA18F7">
      <w:pPr>
        <w:pStyle w:val="ListParagraph"/>
        <w:numPr>
          <w:ilvl w:val="0"/>
          <w:numId w:val="11"/>
        </w:numPr>
        <w:spacing w:before="120" w:after="120"/>
        <w:ind w:left="567" w:hanging="567"/>
        <w:contextualSpacing w:val="0"/>
        <w:rPr>
          <w:rFonts w:asciiTheme="minorHAnsi" w:hAnsiTheme="minorHAnsi" w:cstheme="minorHAnsi"/>
        </w:rPr>
      </w:pPr>
      <w:r>
        <w:rPr>
          <w:rFonts w:asciiTheme="minorHAnsi" w:hAnsiTheme="minorHAnsi" w:cstheme="minorHAnsi"/>
          <w:b/>
        </w:rPr>
        <w:t>Data.</w:t>
      </w:r>
      <w:r>
        <w:rPr>
          <w:rFonts w:asciiTheme="minorHAnsi" w:hAnsiTheme="minorHAnsi" w:cstheme="minorHAnsi"/>
        </w:rPr>
        <w:t xml:space="preserve"> The NBA will incorporate the development of key data sets to support the implementation of PBM as a part of its Information and Communications and Technology strategy. </w:t>
      </w:r>
    </w:p>
    <w:p w:rsidR="007F51BA" w:rsidRPr="00EA18F7" w:rsidRDefault="007F51BA" w:rsidP="007F51BA">
      <w:pPr>
        <w:pStyle w:val="ListParagraph"/>
        <w:spacing w:before="120" w:after="120"/>
        <w:ind w:left="567"/>
        <w:contextualSpacing w:val="0"/>
        <w:rPr>
          <w:rFonts w:asciiTheme="minorHAnsi" w:hAnsiTheme="minorHAnsi" w:cstheme="minorHAnsi"/>
        </w:rPr>
      </w:pPr>
    </w:p>
    <w:p w:rsidR="007F2C03" w:rsidRDefault="007F2C03" w:rsidP="00FD0DC2">
      <w:pPr>
        <w:pStyle w:val="Heading1"/>
      </w:pPr>
      <w:r w:rsidRPr="00FD0DC2">
        <w:lastRenderedPageBreak/>
        <w:t xml:space="preserve">Key </w:t>
      </w:r>
      <w:r w:rsidR="005E09F8" w:rsidRPr="00FD0DC2">
        <w:t xml:space="preserve">Implementation </w:t>
      </w:r>
      <w:r w:rsidRPr="00FD0DC2">
        <w:t>Activities</w:t>
      </w:r>
    </w:p>
    <w:p w:rsidR="00EA452A" w:rsidRDefault="00EA452A" w:rsidP="0037416A">
      <w:pPr>
        <w:pStyle w:val="Heading2"/>
      </w:pPr>
      <w:r>
        <w:t>EXISTING ACTIVITIES</w:t>
      </w:r>
    </w:p>
    <w:p w:rsidR="00EA452A" w:rsidRDefault="00EA452A" w:rsidP="00EA452A">
      <w:r>
        <w:t>There are a number of activities</w:t>
      </w:r>
      <w:r w:rsidR="00E84DCE">
        <w:t>,</w:t>
      </w:r>
      <w:r>
        <w:t xml:space="preserve"> completed or underway at the national level that </w:t>
      </w:r>
      <w:r w:rsidR="00E84DCE">
        <w:t>directly</w:t>
      </w:r>
      <w:r>
        <w:t xml:space="preserve"> or indirectly</w:t>
      </w:r>
      <w:r w:rsidR="00E84DCE">
        <w:t>,</w:t>
      </w:r>
      <w:r>
        <w:t xml:space="preserve"> support</w:t>
      </w:r>
      <w:r w:rsidR="00390942">
        <w:t>s</w:t>
      </w:r>
      <w:r>
        <w:t xml:space="preserve"> implementation of the PBM Guidelines. </w:t>
      </w:r>
      <w:r w:rsidRPr="00FD0DC2">
        <w:t>Activities under this strategy are intended to build-on or augment these existing initiatives.</w:t>
      </w:r>
      <w:r w:rsidR="0086333D" w:rsidRPr="00FD0DC2">
        <w:t xml:space="preserve"> Existing activities </w:t>
      </w:r>
      <w:r>
        <w:t>includ</w:t>
      </w:r>
      <w:r w:rsidR="0086333D">
        <w:t>e</w:t>
      </w:r>
      <w:r>
        <w:t>:</w:t>
      </w:r>
    </w:p>
    <w:p w:rsidR="00EA452A" w:rsidRPr="00EA452A" w:rsidRDefault="00C754F9" w:rsidP="00BA24F4">
      <w:pPr>
        <w:pStyle w:val="ListParagraph"/>
        <w:numPr>
          <w:ilvl w:val="0"/>
          <w:numId w:val="36"/>
        </w:numPr>
      </w:pPr>
      <w:r>
        <w:t>d</w:t>
      </w:r>
      <w:r w:rsidR="00EA452A" w:rsidRPr="00EA452A">
        <w:t>evelopment of education pro</w:t>
      </w:r>
      <w:r w:rsidR="00B66568">
        <w:t xml:space="preserve">grams including the </w:t>
      </w:r>
      <w:proofErr w:type="spellStart"/>
      <w:r w:rsidR="00B66568">
        <w:t>BloodSafe</w:t>
      </w:r>
      <w:proofErr w:type="spellEnd"/>
      <w:r w:rsidR="00B66568">
        <w:t xml:space="preserve"> e</w:t>
      </w:r>
      <w:r w:rsidR="00EA452A" w:rsidRPr="00EA452A">
        <w:t xml:space="preserve">Learning </w:t>
      </w:r>
      <w:r w:rsidR="0000302E">
        <w:t xml:space="preserve">Australia </w:t>
      </w:r>
      <w:r w:rsidR="00EA452A" w:rsidRPr="00EA452A">
        <w:t>program</w:t>
      </w:r>
      <w:r w:rsidR="00DB5852">
        <w:rPr>
          <w:vertAlign w:val="superscript"/>
        </w:rPr>
        <w:fldChar w:fldCharType="begin" w:fldLock="1"/>
      </w:r>
      <w:r w:rsidR="00D626DF">
        <w:rPr>
          <w:vertAlign w:val="superscript"/>
        </w:rPr>
        <w:instrText>ADDIN CSL_CITATION { "citationItems" : [ { "id" : "ITEM-1", "itemData" : { "author" : [ { "dropping-particle" : "", "family" : "BloodSafe", "given" : "", "non-dropping-particle" : "", "parse-names" : false, "suffix" : "" } ], "id" : "ITEM-1", "issued" : { "date-parts" : [ [ "0" ] ] }, "title" : "BloodSafe E-learning", "type" : "article" }, "uris" : [ "http://www.mendeley.com/documents/?uuid=c484421c-343d-477b-96fb-e4e504efb3e8" ] } ], "mendeley" : { "previouslyFormattedCitation" : "&lt;sup&gt;18&lt;/sup&gt;" }, "properties" : { "noteIndex" : 0 }, "schema" : "https://github.com/citation-style-language/schema/raw/master/csl-citation.json" }</w:instrText>
      </w:r>
      <w:r w:rsidR="00DB5852">
        <w:rPr>
          <w:vertAlign w:val="superscript"/>
        </w:rPr>
        <w:fldChar w:fldCharType="separate"/>
      </w:r>
      <w:r w:rsidR="00D626DF" w:rsidRPr="00D626DF">
        <w:rPr>
          <w:noProof/>
          <w:vertAlign w:val="superscript"/>
        </w:rPr>
        <w:t>18</w:t>
      </w:r>
      <w:r w:rsidR="00DB5852">
        <w:rPr>
          <w:vertAlign w:val="superscript"/>
        </w:rPr>
        <w:fldChar w:fldCharType="end"/>
      </w:r>
      <w:r w:rsidR="00EA452A" w:rsidRPr="00256908">
        <w:rPr>
          <w:vertAlign w:val="superscript"/>
        </w:rPr>
        <w:t xml:space="preserve"> </w:t>
      </w:r>
      <w:r w:rsidR="00EA452A" w:rsidRPr="00EA452A">
        <w:t xml:space="preserve">and the </w:t>
      </w:r>
      <w:r w:rsidR="00BA24F4" w:rsidRPr="00BA24F4">
        <w:t>Post-Graduate Certificate in Transfusion Practice (administered by The University of Melbourne on behalf of the Blood Matters Program)</w:t>
      </w:r>
      <w:r w:rsidR="00DB5852">
        <w:rPr>
          <w:vertAlign w:val="superscript"/>
        </w:rPr>
        <w:fldChar w:fldCharType="begin" w:fldLock="1"/>
      </w:r>
      <w:r w:rsidR="00D626DF">
        <w:rPr>
          <w:vertAlign w:val="superscript"/>
        </w:rPr>
        <w:instrText>ADDIN CSL_CITATION { "citationItems" : [ { "id" : "ITEM-1", "itemData" : { "author" : [ { "dropping-particle" : "", "family" : "Victoria Health", "given" : "", "non-dropping-particle" : "", "parse-names" : false, "suffix" : "" } ], "id" : "ITEM-1", "issued" : { "date-parts" : [ [ "0" ] ] }, "title" : "Victoria Health", "type" : "article" }, "uris" : [ "http://www.mendeley.com/documents/?uuid=bcb8309d-d544-4828-9bee-a87a04ba7974" ] } ], "mendeley" : { "previouslyFormattedCitation" : "&lt;sup&gt;19&lt;/sup&gt;" }, "properties" : { "noteIndex" : 0 }, "schema" : "https://github.com/citation-style-language/schema/raw/master/csl-citation.json" }</w:instrText>
      </w:r>
      <w:r w:rsidR="00DB5852">
        <w:rPr>
          <w:vertAlign w:val="superscript"/>
        </w:rPr>
        <w:fldChar w:fldCharType="separate"/>
      </w:r>
      <w:r w:rsidR="00D626DF" w:rsidRPr="00D626DF">
        <w:rPr>
          <w:noProof/>
          <w:vertAlign w:val="superscript"/>
        </w:rPr>
        <w:t>19</w:t>
      </w:r>
      <w:r w:rsidR="00DB5852">
        <w:rPr>
          <w:vertAlign w:val="superscript"/>
        </w:rPr>
        <w:fldChar w:fldCharType="end"/>
      </w:r>
      <w:r w:rsidR="00EA452A" w:rsidRPr="00C754F9">
        <w:rPr>
          <w:vertAlign w:val="superscript"/>
        </w:rPr>
        <w:t>.</w:t>
      </w:r>
      <w:r w:rsidR="00EA452A" w:rsidRPr="00EA452A">
        <w:t xml:space="preserve"> </w:t>
      </w:r>
    </w:p>
    <w:p w:rsidR="00EA452A" w:rsidRPr="00EA452A" w:rsidRDefault="00C754F9" w:rsidP="00FD0DC2">
      <w:pPr>
        <w:pStyle w:val="ListParagraph"/>
        <w:numPr>
          <w:ilvl w:val="0"/>
          <w:numId w:val="36"/>
        </w:numPr>
      </w:pPr>
      <w:r>
        <w:t>r</w:t>
      </w:r>
      <w:r w:rsidR="00EA452A" w:rsidRPr="00EA452A">
        <w:t>esearch to understand how to influence prescribing of red cells</w:t>
      </w:r>
      <w:r w:rsidR="00DB5852">
        <w:rPr>
          <w:vertAlign w:val="superscript"/>
        </w:rPr>
        <w:fldChar w:fldCharType="begin" w:fldLock="1"/>
      </w:r>
      <w:r w:rsidR="00D626DF">
        <w:rPr>
          <w:vertAlign w:val="superscript"/>
        </w:rPr>
        <w:instrText>ADDIN CSL_CITATION { "citationItems" : [ { "id" : "ITEM-1", "itemData" : { "abstract" : "A market research report prepared by Eureka Strategic Research for the Clinical Excellence Commission and the National Blood Authority", "author" : [ { "dropping-particle" : "", "family" : "Clinical Excellence Commission", "given" : "", "non-dropping-particle" : "", "parse-names" : false, "suffix" : "" } ], "id" : "ITEM-1", "issued" : { "date-parts" : [ [ "2007" ] ] }, "publisher-place" : "Australia", "title" : "Understanding and Influencing Blood Prescription", "type" : "report" }, "uris" : [ "http://www.mendeley.com/documents/?uuid=022cc9c7-6018-47cf-8d95-ad744767b26a" ] } ], "mendeley" : { "previouslyFormattedCitation" : "&lt;sup&gt;20&lt;/sup&gt;" }, "properties" : { "noteIndex" : 0 }, "schema" : "https://github.com/citation-style-language/schema/raw/master/csl-citation.json" }</w:instrText>
      </w:r>
      <w:r w:rsidR="00DB5852">
        <w:rPr>
          <w:vertAlign w:val="superscript"/>
        </w:rPr>
        <w:fldChar w:fldCharType="separate"/>
      </w:r>
      <w:r w:rsidR="00D626DF" w:rsidRPr="00D626DF">
        <w:rPr>
          <w:noProof/>
          <w:vertAlign w:val="superscript"/>
        </w:rPr>
        <w:t>20</w:t>
      </w:r>
      <w:r w:rsidR="00DB5852">
        <w:rPr>
          <w:vertAlign w:val="superscript"/>
        </w:rPr>
        <w:fldChar w:fldCharType="end"/>
      </w:r>
      <w:r w:rsidR="00EA452A" w:rsidRPr="00C754F9">
        <w:rPr>
          <w:vertAlign w:val="superscript"/>
        </w:rPr>
        <w:t xml:space="preserve"> </w:t>
      </w:r>
    </w:p>
    <w:p w:rsidR="00C754F9" w:rsidRPr="00C754F9" w:rsidRDefault="00C754F9" w:rsidP="00C754F9">
      <w:pPr>
        <w:pStyle w:val="ListParagraph"/>
        <w:numPr>
          <w:ilvl w:val="0"/>
          <w:numId w:val="36"/>
        </w:numPr>
      </w:pPr>
      <w:r>
        <w:t>d</w:t>
      </w:r>
      <w:r w:rsidR="005A77A9">
        <w:t>evelopment of</w:t>
      </w:r>
      <w:r w:rsidR="00EA452A" w:rsidRPr="00EA452A">
        <w:t xml:space="preserve"> a </w:t>
      </w:r>
      <w:r w:rsidR="00FE7D2F">
        <w:t>N</w:t>
      </w:r>
      <w:r w:rsidR="00EA452A" w:rsidRPr="00EA452A">
        <w:t xml:space="preserve">ational </w:t>
      </w:r>
      <w:r w:rsidR="00FE7D2F">
        <w:t xml:space="preserve">Safety and Quality </w:t>
      </w:r>
      <w:r w:rsidR="00EA452A" w:rsidRPr="00EA452A">
        <w:t>Standard for Blood and Blood</w:t>
      </w:r>
      <w:r w:rsidR="00FE7D2F">
        <w:t xml:space="preserve"> Products</w:t>
      </w:r>
      <w:r w:rsidR="00D626DF">
        <w:rPr>
          <w:vertAlign w:val="superscript"/>
        </w:rPr>
        <w:fldChar w:fldCharType="begin" w:fldLock="1"/>
      </w:r>
      <w:r w:rsidR="00D626DF">
        <w:rPr>
          <w:vertAlign w:val="superscript"/>
        </w:rPr>
        <w:instrText>ADDIN CSL_CITATION { "citationItems" : [ { "id" : "ITEM-1", "itemData" : { "author" : [ { "dropping-particle" : "", "family" : "Australian Commission on Safety and Quality in Health Care", "given" : "", "non-dropping-particle" : "", "parse-names" : false, "suffix" : "" } ], "id" : "ITEM-1", "issued" : { "date-parts" : [ [ "0" ] ] }, "title" : "Australian Commission on Safety and Quality in Health Care", "type" : "article" }, "uris" : [ "http://www.mendeley.com/documents/?uuid=2331b33a-a068-4e9c-b903-d1fe8550ff65" ] } ], "mendeley" : { "previouslyFormattedCitation" : "&lt;sup&gt;17&lt;/sup&gt;" }, "properties" : { "noteIndex" : 0 }, "schema" : "https://github.com/citation-style-language/schema/raw/master/csl-citation.json" }</w:instrText>
      </w:r>
      <w:r w:rsidR="00D626DF">
        <w:rPr>
          <w:vertAlign w:val="superscript"/>
        </w:rPr>
        <w:fldChar w:fldCharType="separate"/>
      </w:r>
      <w:r w:rsidR="00D626DF" w:rsidRPr="00D626DF">
        <w:rPr>
          <w:noProof/>
          <w:vertAlign w:val="superscript"/>
        </w:rPr>
        <w:t>17</w:t>
      </w:r>
      <w:r w:rsidR="00D626DF">
        <w:rPr>
          <w:vertAlign w:val="superscript"/>
        </w:rPr>
        <w:fldChar w:fldCharType="end"/>
      </w:r>
    </w:p>
    <w:p w:rsidR="00EA452A" w:rsidRPr="00C754F9" w:rsidRDefault="00EA452A" w:rsidP="00C754F9">
      <w:pPr>
        <w:pStyle w:val="ListParagraph"/>
        <w:numPr>
          <w:ilvl w:val="0"/>
          <w:numId w:val="36"/>
        </w:numPr>
      </w:pPr>
      <w:r w:rsidRPr="00EA452A">
        <w:t>national stewardship statement for the blood sector</w:t>
      </w:r>
      <w:r w:rsidR="00D626DF">
        <w:fldChar w:fldCharType="begin" w:fldLock="1"/>
      </w:r>
      <w:r w:rsidR="00D626DF">
        <w:instrText>ADDIN CSL_CITATION { "citationItems" : [ { "id" : "ITEM-1", "itemData" : { "author" : [ { "dropping-particle" : "", "family" : "National Blood Authority", "given" : "", "non-dropping-particle" : "", "parse-names" : false, "suffix" : "" } ], "id" : "ITEM-1", "issued" : { "date-parts" : [ [ "0" ] ] }, "title" : "National Blood Authority Stewardship Statement", "type" : "article" }, "uris" : [ "http://www.mendeley.com/documents/?uuid=d70b006e-4fb5-498c-a899-a5566dc2b523" ] } ], "mendeley" : { "previouslyFormattedCitation" : "&lt;sup&gt;21&lt;/sup&gt;" }, "properties" : { "noteIndex" : 0 }, "schema" : "https://github.com/citation-style-language/schema/raw/master/csl-citation.json" }</w:instrText>
      </w:r>
      <w:r w:rsidR="00D626DF">
        <w:fldChar w:fldCharType="separate"/>
      </w:r>
      <w:r w:rsidR="00D626DF" w:rsidRPr="00D626DF">
        <w:rPr>
          <w:noProof/>
          <w:vertAlign w:val="superscript"/>
        </w:rPr>
        <w:t>21</w:t>
      </w:r>
      <w:r w:rsidR="00D626DF">
        <w:fldChar w:fldCharType="end"/>
      </w:r>
    </w:p>
    <w:p w:rsidR="00EA452A" w:rsidRPr="00EA452A" w:rsidRDefault="00C754F9" w:rsidP="00FD0DC2">
      <w:pPr>
        <w:pStyle w:val="ListParagraph"/>
        <w:numPr>
          <w:ilvl w:val="0"/>
          <w:numId w:val="36"/>
        </w:numPr>
      </w:pPr>
      <w:proofErr w:type="gramStart"/>
      <w:r>
        <w:t>r</w:t>
      </w:r>
      <w:r w:rsidR="00EA452A" w:rsidRPr="00EA452A">
        <w:t>esearch</w:t>
      </w:r>
      <w:proofErr w:type="gramEnd"/>
      <w:r w:rsidR="00EA452A" w:rsidRPr="00EA452A">
        <w:t xml:space="preserve"> into the barriers of uptake of PBM practices</w:t>
      </w:r>
      <w:r w:rsidR="0000302E">
        <w:t xml:space="preserve"> undertaken by jurisdictions for the NBA.</w:t>
      </w:r>
    </w:p>
    <w:p w:rsidR="00EA452A" w:rsidRPr="00EA452A" w:rsidRDefault="00E84DCE" w:rsidP="00FD0DC2">
      <w:pPr>
        <w:pStyle w:val="ListParagraph"/>
        <w:numPr>
          <w:ilvl w:val="0"/>
          <w:numId w:val="36"/>
        </w:numPr>
      </w:pPr>
      <w:r>
        <w:t xml:space="preserve">establishment of a national </w:t>
      </w:r>
      <w:r w:rsidR="00C754F9">
        <w:t>PBM</w:t>
      </w:r>
      <w:r w:rsidR="00EA452A" w:rsidRPr="00EA452A">
        <w:t xml:space="preserve"> Steering Comm</w:t>
      </w:r>
      <w:r>
        <w:t xml:space="preserve">ittee and Anaemia Management </w:t>
      </w:r>
      <w:r w:rsidR="00EA452A" w:rsidRPr="00EA452A">
        <w:t xml:space="preserve">Working </w:t>
      </w:r>
      <w:r>
        <w:t>G</w:t>
      </w:r>
      <w:r w:rsidR="00EA452A" w:rsidRPr="00EA452A">
        <w:t xml:space="preserve">roup </w:t>
      </w:r>
    </w:p>
    <w:p w:rsidR="00EA452A" w:rsidRDefault="00C754F9" w:rsidP="00FD0DC2">
      <w:pPr>
        <w:pStyle w:val="ListParagraph"/>
        <w:numPr>
          <w:ilvl w:val="0"/>
          <w:numId w:val="36"/>
        </w:numPr>
      </w:pPr>
      <w:r>
        <w:t>d</w:t>
      </w:r>
      <w:r w:rsidR="00EA452A" w:rsidRPr="00EA452A">
        <w:t>evelopment of evidence-based PBM Guidelines</w:t>
      </w:r>
      <w:r w:rsidR="00D626DF">
        <w:rPr>
          <w:rStyle w:val="EndnoteReference"/>
        </w:rPr>
        <w:fldChar w:fldCharType="begin" w:fldLock="1"/>
      </w:r>
      <w:r w:rsidR="00D626DF">
        <w:instrText>ADDIN CSL_CITATION { "citationItems" : [ { "id" : "ITEM-1", "itemData" : { "author" : [ { "dropping-particle" : "", "family" : "National Blood Authority", "given" : "", "non-dropping-particle" : "", "parse-names" : false, "suffix" : "" } ], "id" : "ITEM-1", "issued" : { "date-parts" : [ [ "0" ] ] }, "title" : "National Blood Authority Guidelines Review", "type" : "article" }, "uris" : [ "http://www.mendeley.com/documents/?uuid=ada2d002-f0fe-4f89-834d-6242fbe9d558" ] } ], "mendeley" : { "previouslyFormattedCitation" : "&lt;sup&gt;22&lt;/sup&gt;" }, "properties" : { "noteIndex" : 0 }, "schema" : "https://github.com/citation-style-language/schema/raw/master/csl-citation.json" }</w:instrText>
      </w:r>
      <w:r w:rsidR="00D626DF">
        <w:rPr>
          <w:rStyle w:val="EndnoteReference"/>
        </w:rPr>
        <w:fldChar w:fldCharType="separate"/>
      </w:r>
      <w:r w:rsidR="00D626DF" w:rsidRPr="00D626DF">
        <w:rPr>
          <w:noProof/>
          <w:vertAlign w:val="superscript"/>
        </w:rPr>
        <w:t>22</w:t>
      </w:r>
      <w:r w:rsidR="00D626DF">
        <w:rPr>
          <w:rStyle w:val="EndnoteReference"/>
        </w:rPr>
        <w:fldChar w:fldCharType="end"/>
      </w:r>
      <w:r>
        <w:t>.</w:t>
      </w:r>
      <w:r w:rsidR="00EA452A" w:rsidRPr="00EA452A">
        <w:t xml:space="preserve"> </w:t>
      </w:r>
    </w:p>
    <w:p w:rsidR="000D7F6C" w:rsidRDefault="000D7F6C" w:rsidP="00FD0DC2">
      <w:r>
        <w:t>New activiti</w:t>
      </w:r>
      <w:r w:rsidR="00E84DCE">
        <w:t>es can be categorised into four</w:t>
      </w:r>
      <w:r>
        <w:t xml:space="preserve"> key t</w:t>
      </w:r>
      <w:r w:rsidR="00E84DCE">
        <w:t xml:space="preserve">hemes: </w:t>
      </w:r>
      <w:r w:rsidR="00390942">
        <w:t xml:space="preserve">PBM </w:t>
      </w:r>
      <w:r w:rsidR="00E84DCE">
        <w:t xml:space="preserve">Tools, Education, </w:t>
      </w:r>
      <w:r>
        <w:t>Promotion</w:t>
      </w:r>
      <w:r w:rsidR="00E84DCE">
        <w:t>/</w:t>
      </w:r>
      <w:r w:rsidR="00D626DF">
        <w:t xml:space="preserve"> </w:t>
      </w:r>
      <w:r w:rsidR="00E84DCE">
        <w:t>Communication and Data.</w:t>
      </w:r>
      <w:r>
        <w:t xml:space="preserve">  </w:t>
      </w:r>
      <w:r w:rsidR="00A00798">
        <w:t xml:space="preserve">The </w:t>
      </w:r>
      <w:r w:rsidR="00EF3487">
        <w:t>strategies to implement PBM under each of these broad themes are</w:t>
      </w:r>
      <w:r>
        <w:t xml:space="preserve"> described below. </w:t>
      </w:r>
    </w:p>
    <w:p w:rsidR="0037416A" w:rsidRDefault="00977D1F" w:rsidP="0037416A">
      <w:pPr>
        <w:pStyle w:val="Heading2"/>
      </w:pPr>
      <w:r>
        <w:t>PBM</w:t>
      </w:r>
      <w:r w:rsidR="00D64CE7">
        <w:t xml:space="preserve"> TOOL SET</w:t>
      </w:r>
    </w:p>
    <w:p w:rsidR="00756AF5" w:rsidRDefault="0086333D" w:rsidP="00756AF5">
      <w:r>
        <w:rPr>
          <w:rFonts w:asciiTheme="minorHAnsi" w:hAnsiTheme="minorHAnsi" w:cstheme="minorHAnsi"/>
        </w:rPr>
        <w:t>A range of tools</w:t>
      </w:r>
      <w:r w:rsidR="00853E65">
        <w:rPr>
          <w:rFonts w:asciiTheme="minorHAnsi" w:hAnsiTheme="minorHAnsi" w:cstheme="minorHAnsi"/>
        </w:rPr>
        <w:t>,</w:t>
      </w:r>
      <w:r>
        <w:rPr>
          <w:rFonts w:asciiTheme="minorHAnsi" w:hAnsiTheme="minorHAnsi" w:cstheme="minorHAnsi"/>
        </w:rPr>
        <w:t xml:space="preserve"> </w:t>
      </w:r>
      <w:r w:rsidR="00977D1F">
        <w:rPr>
          <w:rFonts w:asciiTheme="minorHAnsi" w:hAnsiTheme="minorHAnsi" w:cstheme="minorHAnsi"/>
        </w:rPr>
        <w:t xml:space="preserve">to support the implementation of PBM and </w:t>
      </w:r>
      <w:r w:rsidR="00E84DCE">
        <w:rPr>
          <w:rFonts w:asciiTheme="minorHAnsi" w:hAnsiTheme="minorHAnsi" w:cstheme="minorHAnsi"/>
        </w:rPr>
        <w:t>transfusion best practice</w:t>
      </w:r>
      <w:r w:rsidR="00853E65">
        <w:rPr>
          <w:rFonts w:asciiTheme="minorHAnsi" w:hAnsiTheme="minorHAnsi" w:cstheme="minorHAnsi"/>
        </w:rPr>
        <w:t>,</w:t>
      </w:r>
      <w:r w:rsidR="00787985">
        <w:rPr>
          <w:rFonts w:asciiTheme="minorHAnsi" w:hAnsiTheme="minorHAnsi" w:cstheme="minorHAnsi"/>
        </w:rPr>
        <w:t xml:space="preserve"> </w:t>
      </w:r>
      <w:r>
        <w:rPr>
          <w:rFonts w:asciiTheme="minorHAnsi" w:hAnsiTheme="minorHAnsi" w:cstheme="minorHAnsi"/>
        </w:rPr>
        <w:t>currently exist</w:t>
      </w:r>
      <w:r w:rsidR="0025624A">
        <w:rPr>
          <w:rFonts w:asciiTheme="minorHAnsi" w:hAnsiTheme="minorHAnsi" w:cstheme="minorHAnsi"/>
        </w:rPr>
        <w:t>s</w:t>
      </w:r>
      <w:r>
        <w:rPr>
          <w:rFonts w:asciiTheme="minorHAnsi" w:hAnsiTheme="minorHAnsi" w:cstheme="minorHAnsi"/>
        </w:rPr>
        <w:t xml:space="preserve">. </w:t>
      </w:r>
      <w:r w:rsidR="00171C53">
        <w:rPr>
          <w:rFonts w:asciiTheme="minorHAnsi" w:hAnsiTheme="minorHAnsi" w:cstheme="minorHAnsi"/>
        </w:rPr>
        <w:t xml:space="preserve">The </w:t>
      </w:r>
      <w:r w:rsidR="00977D1F">
        <w:rPr>
          <w:rFonts w:asciiTheme="minorHAnsi" w:hAnsiTheme="minorHAnsi" w:cstheme="minorHAnsi"/>
        </w:rPr>
        <w:t xml:space="preserve">NBA plans to create a searchable web-based interface to help health care administrators and professionals to locate </w:t>
      </w:r>
      <w:r w:rsidR="00787985">
        <w:rPr>
          <w:rFonts w:asciiTheme="minorHAnsi" w:hAnsiTheme="minorHAnsi" w:cstheme="minorHAnsi"/>
        </w:rPr>
        <w:t>available materials</w:t>
      </w:r>
      <w:r w:rsidR="00977D1F">
        <w:rPr>
          <w:rFonts w:asciiTheme="minorHAnsi" w:hAnsiTheme="minorHAnsi" w:cstheme="minorHAnsi"/>
        </w:rPr>
        <w:t xml:space="preserve">.  However, the </w:t>
      </w:r>
      <w:r w:rsidR="00787985">
        <w:rPr>
          <w:rFonts w:asciiTheme="minorHAnsi" w:hAnsiTheme="minorHAnsi" w:cstheme="minorHAnsi"/>
        </w:rPr>
        <w:t xml:space="preserve">quality and accessibility </w:t>
      </w:r>
      <w:r w:rsidR="00977D1F">
        <w:rPr>
          <w:rFonts w:asciiTheme="minorHAnsi" w:hAnsiTheme="minorHAnsi" w:cstheme="minorHAnsi"/>
        </w:rPr>
        <w:t>of PBM tools</w:t>
      </w:r>
      <w:r w:rsidR="00787985">
        <w:rPr>
          <w:rFonts w:asciiTheme="minorHAnsi" w:hAnsiTheme="minorHAnsi" w:cstheme="minorHAnsi"/>
        </w:rPr>
        <w:t xml:space="preserve"> </w:t>
      </w:r>
      <w:r w:rsidR="00D64CE7">
        <w:rPr>
          <w:rFonts w:asciiTheme="minorHAnsi" w:hAnsiTheme="minorHAnsi" w:cstheme="minorHAnsi"/>
        </w:rPr>
        <w:t xml:space="preserve">varies and very few are available for local adaptation, branding and use. </w:t>
      </w:r>
      <w:r w:rsidR="00977D1F">
        <w:rPr>
          <w:rFonts w:asciiTheme="minorHAnsi" w:hAnsiTheme="minorHAnsi" w:cstheme="minorHAnsi"/>
        </w:rPr>
        <w:t xml:space="preserve"> </w:t>
      </w:r>
      <w:r>
        <w:rPr>
          <w:rFonts w:asciiTheme="minorHAnsi" w:hAnsiTheme="minorHAnsi" w:cstheme="minorHAnsi"/>
        </w:rPr>
        <w:t xml:space="preserve">In addition, </w:t>
      </w:r>
      <w:r w:rsidR="00977D1F">
        <w:rPr>
          <w:rFonts w:asciiTheme="minorHAnsi" w:hAnsiTheme="minorHAnsi" w:cstheme="minorHAnsi"/>
        </w:rPr>
        <w:t xml:space="preserve">there are some areas </w:t>
      </w:r>
      <w:r w:rsidR="00787985">
        <w:rPr>
          <w:rFonts w:asciiTheme="minorHAnsi" w:hAnsiTheme="minorHAnsi" w:cstheme="minorHAnsi"/>
        </w:rPr>
        <w:t xml:space="preserve">of need </w:t>
      </w:r>
      <w:r w:rsidR="00977D1F">
        <w:rPr>
          <w:rFonts w:asciiTheme="minorHAnsi" w:hAnsiTheme="minorHAnsi" w:cstheme="minorHAnsi"/>
        </w:rPr>
        <w:t xml:space="preserve">where tools </w:t>
      </w:r>
      <w:r w:rsidR="00787985">
        <w:rPr>
          <w:rFonts w:asciiTheme="minorHAnsi" w:hAnsiTheme="minorHAnsi" w:cstheme="minorHAnsi"/>
        </w:rPr>
        <w:t>have not been developed</w:t>
      </w:r>
      <w:r w:rsidR="00D64CE7">
        <w:rPr>
          <w:rFonts w:asciiTheme="minorHAnsi" w:hAnsiTheme="minorHAnsi" w:cstheme="minorHAnsi"/>
        </w:rPr>
        <w:t xml:space="preserve"> at all</w:t>
      </w:r>
      <w:r w:rsidR="00977D1F">
        <w:rPr>
          <w:rFonts w:asciiTheme="minorHAnsi" w:hAnsiTheme="minorHAnsi" w:cstheme="minorHAnsi"/>
        </w:rPr>
        <w:t xml:space="preserve">. </w:t>
      </w:r>
      <w:r w:rsidR="00C26D39">
        <w:rPr>
          <w:rFonts w:asciiTheme="minorHAnsi" w:hAnsiTheme="minorHAnsi" w:cstheme="minorHAnsi"/>
        </w:rPr>
        <w:t xml:space="preserve"> </w:t>
      </w:r>
      <w:r w:rsidR="00756AF5">
        <w:rPr>
          <w:rFonts w:asciiTheme="minorHAnsi" w:hAnsiTheme="minorHAnsi" w:cstheme="minorHAnsi"/>
        </w:rPr>
        <w:t>The NBA will coordinate</w:t>
      </w:r>
      <w:r w:rsidR="00EA452A">
        <w:rPr>
          <w:rFonts w:asciiTheme="minorHAnsi" w:hAnsiTheme="minorHAnsi" w:cstheme="minorHAnsi"/>
        </w:rPr>
        <w:t>,</w:t>
      </w:r>
      <w:r w:rsidR="00756AF5">
        <w:rPr>
          <w:rFonts w:asciiTheme="minorHAnsi" w:hAnsiTheme="minorHAnsi" w:cstheme="minorHAnsi"/>
        </w:rPr>
        <w:t xml:space="preserve"> </w:t>
      </w:r>
      <w:r w:rsidR="00EA452A">
        <w:rPr>
          <w:rFonts w:asciiTheme="minorHAnsi" w:hAnsiTheme="minorHAnsi" w:cstheme="minorHAnsi"/>
        </w:rPr>
        <w:t xml:space="preserve">through the PBM Steering Committee, </w:t>
      </w:r>
      <w:r w:rsidR="00756AF5">
        <w:rPr>
          <w:rFonts w:asciiTheme="minorHAnsi" w:hAnsiTheme="minorHAnsi" w:cstheme="minorHAnsi"/>
        </w:rPr>
        <w:t>the</w:t>
      </w:r>
      <w:r w:rsidR="00756AF5" w:rsidRPr="00EA18F7">
        <w:rPr>
          <w:rFonts w:asciiTheme="minorHAnsi" w:hAnsiTheme="minorHAnsi" w:cstheme="minorHAnsi"/>
        </w:rPr>
        <w:t xml:space="preserve"> identification, development and promotion of</w:t>
      </w:r>
      <w:r w:rsidR="00756AF5">
        <w:rPr>
          <w:rFonts w:asciiTheme="minorHAnsi" w:hAnsiTheme="minorHAnsi" w:cstheme="minorHAnsi"/>
        </w:rPr>
        <w:t xml:space="preserve"> a set of</w:t>
      </w:r>
      <w:r w:rsidR="00756AF5" w:rsidRPr="00EA18F7">
        <w:rPr>
          <w:rFonts w:asciiTheme="minorHAnsi" w:hAnsiTheme="minorHAnsi" w:cstheme="minorHAnsi"/>
        </w:rPr>
        <w:t xml:space="preserve"> best practice tools</w:t>
      </w:r>
      <w:r w:rsidR="00C26D39">
        <w:rPr>
          <w:rFonts w:asciiTheme="minorHAnsi" w:hAnsiTheme="minorHAnsi" w:cstheme="minorHAnsi"/>
        </w:rPr>
        <w:t xml:space="preserve"> </w:t>
      </w:r>
      <w:r w:rsidR="00977D1F">
        <w:rPr>
          <w:rFonts w:asciiTheme="minorHAnsi" w:hAnsiTheme="minorHAnsi" w:cstheme="minorHAnsi"/>
        </w:rPr>
        <w:t xml:space="preserve">relevant to PBM </w:t>
      </w:r>
      <w:r w:rsidR="00C26D39">
        <w:t>that c</w:t>
      </w:r>
      <w:r w:rsidR="00787985">
        <w:t xml:space="preserve">an be modified and </w:t>
      </w:r>
      <w:r w:rsidR="00EA6021">
        <w:t xml:space="preserve">branded </w:t>
      </w:r>
      <w:r w:rsidR="00C26D39">
        <w:t>by health providers</w:t>
      </w:r>
      <w:r w:rsidR="00756AF5" w:rsidRPr="00EA18F7">
        <w:rPr>
          <w:rFonts w:asciiTheme="minorHAnsi" w:hAnsiTheme="minorHAnsi" w:cstheme="minorHAnsi"/>
        </w:rPr>
        <w:t xml:space="preserve"> to support </w:t>
      </w:r>
      <w:r w:rsidR="00756AF5">
        <w:rPr>
          <w:rFonts w:asciiTheme="minorHAnsi" w:hAnsiTheme="minorHAnsi" w:cstheme="minorHAnsi"/>
        </w:rPr>
        <w:t>PBM Guideline implementation</w:t>
      </w:r>
      <w:r w:rsidR="00787985">
        <w:rPr>
          <w:rFonts w:asciiTheme="minorHAnsi" w:hAnsiTheme="minorHAnsi" w:cstheme="minorHAnsi"/>
        </w:rPr>
        <w:t xml:space="preserve"> in their own institution</w:t>
      </w:r>
      <w:r w:rsidR="00756AF5">
        <w:rPr>
          <w:rFonts w:asciiTheme="minorHAnsi" w:hAnsiTheme="minorHAnsi" w:cstheme="minorHAnsi"/>
        </w:rPr>
        <w:t>.</w:t>
      </w:r>
      <w:r w:rsidR="00787985">
        <w:t xml:space="preserve">  </w:t>
      </w:r>
      <w:r w:rsidR="00171C53">
        <w:t xml:space="preserve">The PBM </w:t>
      </w:r>
      <w:r w:rsidR="00D64CE7">
        <w:t>tools</w:t>
      </w:r>
      <w:r w:rsidR="00171C53">
        <w:t xml:space="preserve"> will contribute to a</w:t>
      </w:r>
      <w:r w:rsidR="00D64CE7">
        <w:t xml:space="preserve"> </w:t>
      </w:r>
      <w:r w:rsidR="00171C53">
        <w:t xml:space="preserve">national reference set of tools aiming to support transfusion </w:t>
      </w:r>
      <w:r w:rsidR="00D64CE7">
        <w:t xml:space="preserve">best </w:t>
      </w:r>
      <w:r w:rsidR="00171C53">
        <w:t xml:space="preserve">practice more broadly. </w:t>
      </w:r>
      <w:r w:rsidR="00D64CE7">
        <w:t xml:space="preserve">The wider toolset will also include best practice tools relating to non-PBM concepts such as inventory management and transfusion best practice. </w:t>
      </w:r>
      <w:r w:rsidR="00787985">
        <w:t>The NBA will use a collaborative approach to the d</w:t>
      </w:r>
      <w:r w:rsidR="00756AF5">
        <w:t>evelopment of the tools, drawing on relevant jurisdictio</w:t>
      </w:r>
      <w:r w:rsidR="00787985">
        <w:t>nal and stakeholder expertise or</w:t>
      </w:r>
      <w:r w:rsidR="00756AF5">
        <w:t xml:space="preserve"> associated work already completed.  An overview of the process for development and implementation of the reference </w:t>
      </w:r>
      <w:r w:rsidR="00D64CE7">
        <w:t xml:space="preserve">tool set is </w:t>
      </w:r>
      <w:r w:rsidR="00756AF5">
        <w:t>broken into five basic steps:</w:t>
      </w:r>
    </w:p>
    <w:p w:rsidR="00756AF5" w:rsidRDefault="00756AF5" w:rsidP="00E70022">
      <w:pPr>
        <w:pStyle w:val="ListParagraph"/>
        <w:numPr>
          <w:ilvl w:val="0"/>
          <w:numId w:val="18"/>
        </w:numPr>
      </w:pPr>
      <w:r>
        <w:t xml:space="preserve">Definition and categorisation of areas requiring supporting </w:t>
      </w:r>
      <w:r w:rsidR="000D7F6C">
        <w:t>tools</w:t>
      </w:r>
      <w:r w:rsidR="00E70022">
        <w:t xml:space="preserve">. This will determine the ‘requirements’ for </w:t>
      </w:r>
      <w:r w:rsidR="00F81DE0">
        <w:t xml:space="preserve">PBM </w:t>
      </w:r>
      <w:r w:rsidR="002D6926">
        <w:t xml:space="preserve">tools to be included in </w:t>
      </w:r>
      <w:r w:rsidR="00D64CE7">
        <w:t>the wider national r</w:t>
      </w:r>
      <w:r w:rsidR="00E70022">
        <w:t xml:space="preserve">eference </w:t>
      </w:r>
      <w:r w:rsidR="00D64CE7">
        <w:t>t</w:t>
      </w:r>
      <w:r w:rsidR="005D00FE">
        <w:t xml:space="preserve">ool </w:t>
      </w:r>
      <w:r w:rsidR="00D64CE7">
        <w:t>s</w:t>
      </w:r>
      <w:r w:rsidR="00E70022">
        <w:t>et</w:t>
      </w:r>
      <w:r w:rsidR="002D6926">
        <w:t>.</w:t>
      </w:r>
      <w:r w:rsidR="00F81DE0">
        <w:t xml:space="preserve"> </w:t>
      </w:r>
      <w:r w:rsidR="002D6926">
        <w:t xml:space="preserve"> The</w:t>
      </w:r>
      <w:r w:rsidR="00624F41">
        <w:t xml:space="preserve"> proposed </w:t>
      </w:r>
      <w:r w:rsidR="00977D1F">
        <w:t xml:space="preserve">PBM </w:t>
      </w:r>
      <w:r w:rsidR="000D7F6C">
        <w:t>Tool</w:t>
      </w:r>
      <w:r w:rsidR="00977D1F">
        <w:t xml:space="preserve"> Set</w:t>
      </w:r>
      <w:r w:rsidR="00624F41">
        <w:t xml:space="preserve"> </w:t>
      </w:r>
      <w:r w:rsidR="002D6926">
        <w:t xml:space="preserve">is </w:t>
      </w:r>
      <w:r w:rsidR="00624F41">
        <w:t>at Atta</w:t>
      </w:r>
      <w:r w:rsidR="00D64CE7">
        <w:t>chment A</w:t>
      </w:r>
      <w:r w:rsidR="00624F41">
        <w:t xml:space="preserve">. </w:t>
      </w:r>
    </w:p>
    <w:p w:rsidR="00756AF5" w:rsidRDefault="00756AF5" w:rsidP="00E70022">
      <w:pPr>
        <w:pStyle w:val="ListParagraph"/>
        <w:numPr>
          <w:ilvl w:val="0"/>
          <w:numId w:val="18"/>
        </w:numPr>
      </w:pPr>
      <w:r>
        <w:t xml:space="preserve">Identification </w:t>
      </w:r>
      <w:r w:rsidR="00F81DE0">
        <w:t xml:space="preserve">and adaptation </w:t>
      </w:r>
      <w:r>
        <w:t xml:space="preserve">of existing materials and associated stakeholder expertise </w:t>
      </w:r>
      <w:r w:rsidR="00F81DE0">
        <w:t xml:space="preserve">to meet </w:t>
      </w:r>
      <w:r>
        <w:t xml:space="preserve">defined </w:t>
      </w:r>
      <w:r w:rsidR="002D6926">
        <w:t xml:space="preserve">PBM </w:t>
      </w:r>
      <w:r>
        <w:t>requirements</w:t>
      </w:r>
      <w:r w:rsidR="0025624A">
        <w:t>.</w:t>
      </w:r>
    </w:p>
    <w:p w:rsidR="00756AF5" w:rsidRDefault="00D64CE7" w:rsidP="00E70022">
      <w:pPr>
        <w:pStyle w:val="ListParagraph"/>
        <w:numPr>
          <w:ilvl w:val="0"/>
          <w:numId w:val="18"/>
        </w:numPr>
      </w:pPr>
      <w:r>
        <w:t>Provide easy access to the national reference s</w:t>
      </w:r>
      <w:r w:rsidR="00F81DE0">
        <w:t>et of tools via a searchable online database. This database will also provide access to</w:t>
      </w:r>
      <w:r w:rsidR="002D6926">
        <w:t xml:space="preserve"> tools and materials not included in the </w:t>
      </w:r>
      <w:r>
        <w:t>n</w:t>
      </w:r>
      <w:r w:rsidR="002D6926">
        <w:t xml:space="preserve">ational </w:t>
      </w:r>
      <w:r>
        <w:t>reference s</w:t>
      </w:r>
      <w:r w:rsidR="002D6926">
        <w:t xml:space="preserve">et of tools </w:t>
      </w:r>
      <w:r>
        <w:t xml:space="preserve">(which can be locally adapted and branded). </w:t>
      </w:r>
      <w:r w:rsidR="00E84F70">
        <w:t>The searchable database will also include</w:t>
      </w:r>
      <w:r w:rsidR="002D6926">
        <w:t xml:space="preserve"> NBA publications (e.g. Annual Reports) and examples of tools used in jurisdictions not</w:t>
      </w:r>
      <w:r w:rsidR="00E84F70">
        <w:t xml:space="preserve"> identified or included in the national reference tool</w:t>
      </w:r>
      <w:r w:rsidR="002D6926">
        <w:t xml:space="preserve"> set.</w:t>
      </w:r>
    </w:p>
    <w:p w:rsidR="00756AF5" w:rsidRDefault="00756AF5" w:rsidP="00797BDF">
      <w:pPr>
        <w:pStyle w:val="ListParagraph"/>
        <w:numPr>
          <w:ilvl w:val="0"/>
          <w:numId w:val="18"/>
        </w:numPr>
      </w:pPr>
      <w:r>
        <w:lastRenderedPageBreak/>
        <w:t>Identification of gaps</w:t>
      </w:r>
      <w:r w:rsidR="00797BDF">
        <w:t xml:space="preserve"> and c</w:t>
      </w:r>
      <w:r>
        <w:t>ommission</w:t>
      </w:r>
      <w:r w:rsidR="0086333D">
        <w:t>ing of</w:t>
      </w:r>
      <w:r>
        <w:t xml:space="preserve"> relevant stakeholders/jurisdictions to develop tools to address identified gaps.</w:t>
      </w:r>
    </w:p>
    <w:p w:rsidR="00797BDF" w:rsidRDefault="00E84F70" w:rsidP="00797BDF">
      <w:pPr>
        <w:pStyle w:val="ListParagraph"/>
        <w:numPr>
          <w:ilvl w:val="0"/>
          <w:numId w:val="18"/>
        </w:numPr>
      </w:pPr>
      <w:r>
        <w:t>Review and update PBM tools in the national reference t</w:t>
      </w:r>
      <w:r w:rsidR="00797BDF">
        <w:t xml:space="preserve">ool </w:t>
      </w:r>
      <w:r>
        <w:t>s</w:t>
      </w:r>
      <w:r w:rsidR="00797BDF">
        <w:t xml:space="preserve">et. </w:t>
      </w:r>
    </w:p>
    <w:p w:rsidR="00853E65" w:rsidRDefault="00853E65" w:rsidP="00FD0DC2">
      <w:r>
        <w:t xml:space="preserve">It should be noted that the ‘tool set’ will not be static and will develop and change over time. </w:t>
      </w:r>
    </w:p>
    <w:p w:rsidR="006C3A67" w:rsidRDefault="00756AF5" w:rsidP="00FD0DC2">
      <w:r>
        <w:t xml:space="preserve">The tools </w:t>
      </w:r>
      <w:r w:rsidR="00E70022">
        <w:t xml:space="preserve">are designed </w:t>
      </w:r>
      <w:r w:rsidR="007F2C03">
        <w:t>to support individuals responsible for implementing P</w:t>
      </w:r>
      <w:r w:rsidR="00EA452A">
        <w:t>BM</w:t>
      </w:r>
      <w:r w:rsidR="007F2C03">
        <w:t xml:space="preserve"> </w:t>
      </w:r>
      <w:r>
        <w:t>at a health provider, individu</w:t>
      </w:r>
      <w:r w:rsidR="002B5912">
        <w:t>a</w:t>
      </w:r>
      <w:r w:rsidR="0066542B">
        <w:t xml:space="preserve">l clinician and patient level. </w:t>
      </w:r>
    </w:p>
    <w:p w:rsidR="002B5912" w:rsidRDefault="002B5912" w:rsidP="00FD0DC2">
      <w:r>
        <w:t>A suite of protocols and policies will be developed</w:t>
      </w:r>
      <w:r w:rsidR="00860FCE">
        <w:t xml:space="preserve"> for local </w:t>
      </w:r>
      <w:r w:rsidR="00BA4BA0">
        <w:t xml:space="preserve">adaptation and </w:t>
      </w:r>
      <w:r w:rsidR="00860FCE">
        <w:t>branding</w:t>
      </w:r>
      <w:r w:rsidR="00BA4BA0">
        <w:t xml:space="preserve">. </w:t>
      </w:r>
      <w:r w:rsidR="00853E65">
        <w:t>Initial priority will be given to</w:t>
      </w:r>
      <w:r w:rsidR="00BA4BA0">
        <w:t>:</w:t>
      </w:r>
    </w:p>
    <w:p w:rsidR="002B5912" w:rsidRDefault="00FD0DC2" w:rsidP="00FD0DC2">
      <w:pPr>
        <w:pStyle w:val="ListParagraph"/>
        <w:numPr>
          <w:ilvl w:val="0"/>
          <w:numId w:val="36"/>
        </w:numPr>
      </w:pPr>
      <w:r>
        <w:t>intraoperative cell salvage</w:t>
      </w:r>
      <w:r w:rsidR="00BA4BA0">
        <w:t xml:space="preserve"> guidance</w:t>
      </w:r>
    </w:p>
    <w:p w:rsidR="002B5912" w:rsidRDefault="00FD0DC2" w:rsidP="00FD0DC2">
      <w:pPr>
        <w:pStyle w:val="ListParagraph"/>
        <w:numPr>
          <w:ilvl w:val="0"/>
          <w:numId w:val="36"/>
        </w:numPr>
      </w:pPr>
      <w:proofErr w:type="gramStart"/>
      <w:r>
        <w:t>r</w:t>
      </w:r>
      <w:r w:rsidR="002B5912">
        <w:t>estrictive</w:t>
      </w:r>
      <w:proofErr w:type="gramEnd"/>
      <w:r w:rsidR="002B5912">
        <w:t xml:space="preserve"> transfusion</w:t>
      </w:r>
      <w:r w:rsidR="00860FCE">
        <w:t>/</w:t>
      </w:r>
      <w:r w:rsidR="002B5912">
        <w:t>single unit polic</w:t>
      </w:r>
      <w:r w:rsidR="00860FCE">
        <w:t>y</w:t>
      </w:r>
      <w:r w:rsidR="002B5912">
        <w:t>.</w:t>
      </w:r>
    </w:p>
    <w:p w:rsidR="00A11101" w:rsidRDefault="00A11101" w:rsidP="00A11101">
      <w:pPr>
        <w:pStyle w:val="Heading2"/>
      </w:pPr>
      <w:r>
        <w:t>EDUCATION AND TRAINING</w:t>
      </w:r>
    </w:p>
    <w:p w:rsidR="00AA4DCE" w:rsidRDefault="00A11101" w:rsidP="00A11101">
      <w:r>
        <w:t>Education and training</w:t>
      </w:r>
      <w:r w:rsidR="00D626DF">
        <w:rPr>
          <w:rStyle w:val="FootnoteReference"/>
        </w:rPr>
        <w:footnoteReference w:id="1"/>
      </w:r>
      <w:r>
        <w:t xml:space="preserve"> to </w:t>
      </w:r>
      <w:r w:rsidR="004F3F70">
        <w:t xml:space="preserve">support development of </w:t>
      </w:r>
      <w:r w:rsidR="00C754F9">
        <w:t>PBM</w:t>
      </w:r>
      <w:r w:rsidR="00AA4DCE">
        <w:t xml:space="preserve"> knowledge and competencies </w:t>
      </w:r>
      <w:r w:rsidR="004F3F70">
        <w:t xml:space="preserve">is required </w:t>
      </w:r>
      <w:r w:rsidR="00AA4DCE">
        <w:t>across the primary</w:t>
      </w:r>
      <w:r w:rsidR="00853E65">
        <w:t xml:space="preserve"> and secondary care settings.  These include h</w:t>
      </w:r>
      <w:r w:rsidR="00AA4DCE">
        <w:t>o</w:t>
      </w:r>
      <w:r w:rsidR="004F3F70">
        <w:t xml:space="preserve">spital doctors </w:t>
      </w:r>
      <w:r w:rsidR="00AA4DCE">
        <w:t xml:space="preserve">including junior </w:t>
      </w:r>
      <w:r w:rsidR="00853E65">
        <w:t xml:space="preserve">medical officers and registrars, </w:t>
      </w:r>
      <w:r w:rsidR="004F3F70">
        <w:t>nurses, general practitioners and specialists.</w:t>
      </w:r>
      <w:r w:rsidR="00AA4DCE">
        <w:t xml:space="preserve">  The initial </w:t>
      </w:r>
      <w:r w:rsidR="002948E2">
        <w:t>strategy will focus on the following:</w:t>
      </w:r>
    </w:p>
    <w:p w:rsidR="002948E2" w:rsidRDefault="000D7F6C" w:rsidP="000D7F6C">
      <w:pPr>
        <w:pStyle w:val="Heading3"/>
      </w:pPr>
      <w:r>
        <w:t>embed pbm in</w:t>
      </w:r>
      <w:r w:rsidR="00E86858">
        <w:t xml:space="preserve"> bloodsafe e-</w:t>
      </w:r>
      <w:r w:rsidR="002948E2">
        <w:t>LEARNING</w:t>
      </w:r>
      <w:r w:rsidR="0066542B">
        <w:t xml:space="preserve"> austraLI</w:t>
      </w:r>
      <w:r w:rsidR="00E86858">
        <w:t>a</w:t>
      </w:r>
    </w:p>
    <w:p w:rsidR="002948E2" w:rsidRDefault="002948E2" w:rsidP="002948E2">
      <w:r>
        <w:t xml:space="preserve">The NBA </w:t>
      </w:r>
      <w:r w:rsidR="00E86858">
        <w:t xml:space="preserve">plans to </w:t>
      </w:r>
      <w:r w:rsidR="0047692A">
        <w:t>capitalise</w:t>
      </w:r>
      <w:r w:rsidR="00E86858">
        <w:t xml:space="preserve"> on the popularity of </w:t>
      </w:r>
      <w:proofErr w:type="spellStart"/>
      <w:r>
        <w:t>BloodSafe</w:t>
      </w:r>
      <w:proofErr w:type="spellEnd"/>
      <w:r>
        <w:t xml:space="preserve"> eLearning Australia which offers high quality interactive education for health care professionals. </w:t>
      </w:r>
      <w:r w:rsidR="000D7F6C">
        <w:t xml:space="preserve"> The courses attract professional development points and support accreditation against the Blood and Blood Product Standard.  Additional PBM courses and content will be developed. NBA will explore and promote</w:t>
      </w:r>
      <w:r>
        <w:t xml:space="preserve"> </w:t>
      </w:r>
      <w:r w:rsidR="000D7F6C">
        <w:t>incorporation of key courses</w:t>
      </w:r>
      <w:r>
        <w:t xml:space="preserve"> into </w:t>
      </w:r>
      <w:r w:rsidR="000D7F6C">
        <w:t xml:space="preserve">relevant </w:t>
      </w:r>
      <w:r>
        <w:t xml:space="preserve">medical and nursing curricula. </w:t>
      </w:r>
    </w:p>
    <w:p w:rsidR="00AA4DCE" w:rsidRDefault="00946C31" w:rsidP="002948E2">
      <w:pPr>
        <w:pStyle w:val="Heading3"/>
      </w:pPr>
      <w:r>
        <w:t xml:space="preserve">INVESTIGATE AND </w:t>
      </w:r>
      <w:r w:rsidR="00AA4DCE">
        <w:t>Support hospital based education and training</w:t>
      </w:r>
      <w:r w:rsidR="009E6296">
        <w:t xml:space="preserve"> </w:t>
      </w:r>
    </w:p>
    <w:p w:rsidR="00E86858" w:rsidRPr="00E86858" w:rsidRDefault="00384E96" w:rsidP="00E86858">
      <w:r>
        <w:t xml:space="preserve">Busy </w:t>
      </w:r>
      <w:r w:rsidR="00820ECA">
        <w:t xml:space="preserve">educators of </w:t>
      </w:r>
      <w:r>
        <w:t xml:space="preserve">doctors and nurses who offer hospital based education and training would appreciate access to freely available presentations, podcasts and other educational materials that assist in explaining the concepts of PBM. It is the intent of the strategy to identify the topics and produce </w:t>
      </w:r>
      <w:r w:rsidR="008B6BDB">
        <w:t>educational</w:t>
      </w:r>
      <w:r>
        <w:t xml:space="preserve"> materials that would be valued by hospital based educators.  </w:t>
      </w:r>
      <w:r w:rsidR="00946C31">
        <w:t xml:space="preserve">Investigations will be undertaken to better appreciate the barriers to education and training about PBM in the hospital sector. </w:t>
      </w:r>
    </w:p>
    <w:p w:rsidR="00AA4DCE" w:rsidRDefault="002948E2" w:rsidP="002948E2">
      <w:pPr>
        <w:pStyle w:val="Heading3"/>
      </w:pPr>
      <w:r>
        <w:t>education</w:t>
      </w:r>
      <w:r w:rsidR="00AA4DCE">
        <w:t xml:space="preserve"> for</w:t>
      </w:r>
      <w:r>
        <w:t xml:space="preserve"> general practitioners </w:t>
      </w:r>
    </w:p>
    <w:p w:rsidR="00384E96" w:rsidRPr="00384E96" w:rsidRDefault="00384E96" w:rsidP="00384E96">
      <w:r>
        <w:t xml:space="preserve">General practitioners play a key role in managing anaemia and iron deficiency. </w:t>
      </w:r>
      <w:r w:rsidR="008B6BDB">
        <w:t>The NBA will explore educational partnerships to develop materials such as e</w:t>
      </w:r>
      <w:r>
        <w:t xml:space="preserve">ducational audits to enhance competencies in general practitioners in the identification, diagnosis and management of iron deficiency and iron deficiency anaemia. </w:t>
      </w:r>
      <w:r w:rsidR="00624F41">
        <w:t xml:space="preserve">The NBA will also explore inclusion of eLearning within GP trainee education. </w:t>
      </w:r>
    </w:p>
    <w:p w:rsidR="00AA4DCE" w:rsidRDefault="003F690B" w:rsidP="002948E2">
      <w:pPr>
        <w:pStyle w:val="Heading3"/>
      </w:pPr>
      <w:r>
        <w:t>Investigate the best methods to support PBM educati</w:t>
      </w:r>
      <w:r w:rsidR="00094550">
        <w:t>on and training for specialists</w:t>
      </w:r>
    </w:p>
    <w:p w:rsidR="00946C31" w:rsidRPr="00946C31" w:rsidRDefault="008B6BDB" w:rsidP="00946C31">
      <w:r>
        <w:t>NBA will explore opportunities to collaborate with educational institutions or colleges to support training of s</w:t>
      </w:r>
      <w:r w:rsidR="00946C31">
        <w:t>pecialists and advanced trainees</w:t>
      </w:r>
      <w:r>
        <w:t xml:space="preserve"> in </w:t>
      </w:r>
      <w:r w:rsidR="00C754F9">
        <w:t>PBM</w:t>
      </w:r>
      <w:r>
        <w:t xml:space="preserve"> techniques relevant to their discipline</w:t>
      </w:r>
      <w:r w:rsidR="00946C31">
        <w:t xml:space="preserve">. </w:t>
      </w:r>
    </w:p>
    <w:p w:rsidR="005229AB" w:rsidRPr="002B5912" w:rsidRDefault="00CC028C" w:rsidP="002B5912">
      <w:pPr>
        <w:pStyle w:val="Heading2"/>
      </w:pPr>
      <w:r>
        <w:br w:type="page"/>
      </w:r>
      <w:r w:rsidR="005229AB">
        <w:lastRenderedPageBreak/>
        <w:t>PROMOTION/COMMUNICATION</w:t>
      </w:r>
    </w:p>
    <w:p w:rsidR="00684B48" w:rsidRDefault="00684B48" w:rsidP="00684B48">
      <w:pPr>
        <w:pStyle w:val="Heading3"/>
      </w:pPr>
      <w:r>
        <w:t>Campaigns to promote PBM</w:t>
      </w:r>
    </w:p>
    <w:p w:rsidR="00C84E24" w:rsidRDefault="008B6BDB" w:rsidP="00FD0DC2">
      <w:r>
        <w:t xml:space="preserve">The NBA will design and undertake </w:t>
      </w:r>
      <w:r w:rsidR="00C566C3">
        <w:t>promotional/comm</w:t>
      </w:r>
      <w:r w:rsidR="00C84E24">
        <w:t>unication campaigns, targeting</w:t>
      </w:r>
      <w:r w:rsidR="00C566C3">
        <w:t xml:space="preserve"> specific groups of health providers </w:t>
      </w:r>
      <w:r>
        <w:t xml:space="preserve">to enhance awareness </w:t>
      </w:r>
      <w:r w:rsidR="00C84E24">
        <w:t xml:space="preserve">of </w:t>
      </w:r>
      <w:r>
        <w:t xml:space="preserve">and support </w:t>
      </w:r>
      <w:r w:rsidR="00C84E24">
        <w:t xml:space="preserve">for </w:t>
      </w:r>
      <w:r>
        <w:t xml:space="preserve">the implementation of </w:t>
      </w:r>
      <w:r w:rsidR="00C754F9">
        <w:t>PBM</w:t>
      </w:r>
      <w:r w:rsidR="00C566C3">
        <w:t xml:space="preserve">. </w:t>
      </w:r>
      <w:r w:rsidR="00C84E24">
        <w:t xml:space="preserve"> Appropriate key messages and channels of communication</w:t>
      </w:r>
      <w:r w:rsidR="00C84E24" w:rsidRPr="00C84E24">
        <w:t xml:space="preserve"> </w:t>
      </w:r>
      <w:r w:rsidR="00C84E24">
        <w:t xml:space="preserve">will be used to promote education and tools as they become available. </w:t>
      </w:r>
      <w:r w:rsidR="00684B48">
        <w:t xml:space="preserve">These campaigns will be undertaken in conjunction with clinicians, jurisdictions </w:t>
      </w:r>
      <w:r w:rsidR="00EE292A">
        <w:t xml:space="preserve">patient advocacy groups </w:t>
      </w:r>
      <w:r w:rsidR="00684B48">
        <w:t>and other stakeholders where relevant, noting that the States and Territories will normally lead communication campaigns that target public health providers in their jurisdiction.</w:t>
      </w:r>
      <w:r w:rsidR="007A509C">
        <w:t xml:space="preserve"> </w:t>
      </w:r>
      <w:r w:rsidR="00820ECA">
        <w:t>C</w:t>
      </w:r>
      <w:r w:rsidR="007A509C">
        <w:t xml:space="preserve">ampaigns </w:t>
      </w:r>
      <w:r w:rsidR="00820ECA">
        <w:t>will support key PBM approaches such as:</w:t>
      </w:r>
    </w:p>
    <w:p w:rsidR="007A509C" w:rsidRDefault="007A509C" w:rsidP="00FD0DC2">
      <w:pPr>
        <w:pStyle w:val="ListParagraph"/>
        <w:numPr>
          <w:ilvl w:val="0"/>
          <w:numId w:val="36"/>
        </w:numPr>
      </w:pPr>
      <w:r>
        <w:t>ensuring patients are ‘fit for surgery’</w:t>
      </w:r>
    </w:p>
    <w:p w:rsidR="007A509C" w:rsidRDefault="007A509C" w:rsidP="00FD0DC2">
      <w:pPr>
        <w:pStyle w:val="ListParagraph"/>
        <w:numPr>
          <w:ilvl w:val="0"/>
          <w:numId w:val="36"/>
        </w:numPr>
      </w:pPr>
      <w:r>
        <w:t xml:space="preserve">supporting a restrictive transfusion strategy </w:t>
      </w:r>
      <w:r w:rsidR="00820ECA">
        <w:t>and single unit at a time policy</w:t>
      </w:r>
      <w:r>
        <w:t xml:space="preserve"> </w:t>
      </w:r>
    </w:p>
    <w:p w:rsidR="007A509C" w:rsidRDefault="007A509C" w:rsidP="00FD0DC2">
      <w:pPr>
        <w:pStyle w:val="ListParagraph"/>
        <w:numPr>
          <w:ilvl w:val="0"/>
          <w:numId w:val="36"/>
        </w:numPr>
      </w:pPr>
      <w:proofErr w:type="gramStart"/>
      <w:r>
        <w:t>improving</w:t>
      </w:r>
      <w:proofErr w:type="gramEnd"/>
      <w:r>
        <w:t xml:space="preserve"> awareness of the </w:t>
      </w:r>
      <w:r w:rsidR="00860FCE">
        <w:t xml:space="preserve">cost </w:t>
      </w:r>
      <w:r>
        <w:t>of blood.</w:t>
      </w:r>
    </w:p>
    <w:p w:rsidR="00684B48" w:rsidRDefault="007A509C" w:rsidP="00684B48">
      <w:pPr>
        <w:pStyle w:val="Heading3"/>
      </w:pPr>
      <w:r>
        <w:t>SUPPORTING</w:t>
      </w:r>
      <w:r w:rsidR="00684B48">
        <w:t xml:space="preserve"> PBM NETWORK</w:t>
      </w:r>
      <w:r>
        <w:t xml:space="preserve"> COMMUNICATIONS</w:t>
      </w:r>
    </w:p>
    <w:p w:rsidR="00684B48" w:rsidRDefault="005A77A9" w:rsidP="00FD0DC2">
      <w:r>
        <w:t>The NBA will further develop</w:t>
      </w:r>
      <w:r w:rsidR="00684B48">
        <w:t xml:space="preserve"> collaborative </w:t>
      </w:r>
      <w:r>
        <w:t xml:space="preserve">PBM </w:t>
      </w:r>
      <w:r w:rsidR="00684B48">
        <w:t xml:space="preserve">networks </w:t>
      </w:r>
      <w:r>
        <w:t>initiated</w:t>
      </w:r>
      <w:r w:rsidR="00684B48">
        <w:t xml:space="preserve"> through the de</w:t>
      </w:r>
      <w:r>
        <w:t>velopment of the PBM Guidelines to support</w:t>
      </w:r>
      <w:r w:rsidR="00684B48">
        <w:t xml:space="preserve"> the widespread adoption and successful implementation of </w:t>
      </w:r>
      <w:r w:rsidR="00C754F9">
        <w:t>PBM</w:t>
      </w:r>
      <w:r w:rsidR="00684B48">
        <w:t>. The N</w:t>
      </w:r>
      <w:r>
        <w:t>BA will offer a platform for online discussions and information sharing about PBM t</w:t>
      </w:r>
      <w:r w:rsidR="00820ECA">
        <w:t>hrough a</w:t>
      </w:r>
      <w:r>
        <w:t xml:space="preserve"> PBM portal available on </w:t>
      </w:r>
      <w:proofErr w:type="spellStart"/>
      <w:r w:rsidR="00684B48">
        <w:t>Blo</w:t>
      </w:r>
      <w:r>
        <w:t>odChat</w:t>
      </w:r>
      <w:proofErr w:type="spellEnd"/>
      <w:r w:rsidR="00820ECA">
        <w:t xml:space="preserve"> which is </w:t>
      </w:r>
      <w:r w:rsidR="005A7926">
        <w:t>an NBA hosted online discussion forum</w:t>
      </w:r>
      <w:r>
        <w:t xml:space="preserve">. </w:t>
      </w:r>
      <w:r w:rsidR="005A7926">
        <w:t xml:space="preserve"> </w:t>
      </w:r>
      <w:r>
        <w:t>NBA will continue to provide key information through</w:t>
      </w:r>
      <w:r w:rsidR="00684B48">
        <w:t xml:space="preserve"> system user groups (such as the Bl</w:t>
      </w:r>
      <w:r w:rsidR="005A7926">
        <w:t xml:space="preserve">oodNet User Reference Group) </w:t>
      </w:r>
      <w:r w:rsidR="00684B48">
        <w:t>to further discuss and advance the implementat</w:t>
      </w:r>
      <w:r w:rsidR="005A7926">
        <w:t xml:space="preserve">ion of </w:t>
      </w:r>
      <w:r w:rsidR="00C754F9">
        <w:t>PBM</w:t>
      </w:r>
      <w:r w:rsidR="005A7926">
        <w:t>.</w:t>
      </w:r>
      <w:r w:rsidR="00684B48" w:rsidRPr="00684B48">
        <w:t xml:space="preserve"> </w:t>
      </w:r>
      <w:r w:rsidR="00684B48">
        <w:t xml:space="preserve"> </w:t>
      </w:r>
      <w:r w:rsidR="005A7926">
        <w:t xml:space="preserve">These electronic forums will enable PBM champions and enthusiasts to share information about successes and pitfalls in PBM implementation.   </w:t>
      </w:r>
    </w:p>
    <w:p w:rsidR="00684B48" w:rsidRDefault="00684B48" w:rsidP="00684B48">
      <w:pPr>
        <w:pStyle w:val="Heading3"/>
      </w:pPr>
      <w:r>
        <w:t>Conferences</w:t>
      </w:r>
    </w:p>
    <w:p w:rsidR="006C1343" w:rsidRDefault="00684B48" w:rsidP="00256908">
      <w:r>
        <w:t>The NBA will</w:t>
      </w:r>
      <w:r w:rsidR="006C1343">
        <w:t xml:space="preserve"> continue to participate in conferences held by others by:</w:t>
      </w:r>
    </w:p>
    <w:p w:rsidR="006C1343" w:rsidRDefault="006C1343" w:rsidP="00FD0DC2">
      <w:pPr>
        <w:pStyle w:val="ListParagraph"/>
        <w:numPr>
          <w:ilvl w:val="0"/>
          <w:numId w:val="36"/>
        </w:numPr>
      </w:pPr>
      <w:proofErr w:type="gramStart"/>
      <w:r>
        <w:t>providing</w:t>
      </w:r>
      <w:proofErr w:type="gramEnd"/>
      <w:r>
        <w:t xml:space="preserve"> information to PBM Champions such as the clinical members of the PBM </w:t>
      </w:r>
      <w:r w:rsidR="00F3014E">
        <w:t xml:space="preserve">Guidelines </w:t>
      </w:r>
      <w:r>
        <w:t>Clinical</w:t>
      </w:r>
      <w:r w:rsidR="00F3014E">
        <w:t>/Consumer</w:t>
      </w:r>
      <w:r>
        <w:t xml:space="preserve"> Reference Groups, to enable informed abstracts and presentations.  </w:t>
      </w:r>
    </w:p>
    <w:p w:rsidR="006C1343" w:rsidRDefault="009A0D84" w:rsidP="00FD0DC2">
      <w:pPr>
        <w:pStyle w:val="ListParagraph"/>
        <w:numPr>
          <w:ilvl w:val="0"/>
          <w:numId w:val="36"/>
        </w:numPr>
      </w:pPr>
      <w:proofErr w:type="gramStart"/>
      <w:r>
        <w:t>submitting</w:t>
      </w:r>
      <w:proofErr w:type="gramEnd"/>
      <w:r w:rsidR="006C1343">
        <w:t xml:space="preserve"> </w:t>
      </w:r>
      <w:r w:rsidR="005A7926">
        <w:t xml:space="preserve">abstracts </w:t>
      </w:r>
      <w:r w:rsidR="00684B48">
        <w:t xml:space="preserve">and </w:t>
      </w:r>
      <w:r>
        <w:t xml:space="preserve">presenting </w:t>
      </w:r>
      <w:r w:rsidR="005A7926">
        <w:t>at key co</w:t>
      </w:r>
      <w:r w:rsidR="00820ECA">
        <w:t xml:space="preserve">nferences. </w:t>
      </w:r>
      <w:r w:rsidR="006C1343">
        <w:t xml:space="preserve"> </w:t>
      </w:r>
    </w:p>
    <w:p w:rsidR="00A31BAD" w:rsidRDefault="006C1343" w:rsidP="00FD0DC2">
      <w:pPr>
        <w:pStyle w:val="ListParagraph"/>
        <w:numPr>
          <w:ilvl w:val="0"/>
          <w:numId w:val="36"/>
        </w:numPr>
      </w:pPr>
      <w:proofErr w:type="gramStart"/>
      <w:r>
        <w:t>explor</w:t>
      </w:r>
      <w:r w:rsidR="009A0D84">
        <w:t>ing</w:t>
      </w:r>
      <w:proofErr w:type="gramEnd"/>
      <w:r>
        <w:t xml:space="preserve"> the utility of funding and manning </w:t>
      </w:r>
      <w:r w:rsidR="00820ECA">
        <w:t>conference booths</w:t>
      </w:r>
      <w:r w:rsidR="008A63D1">
        <w:t xml:space="preserve"> </w:t>
      </w:r>
      <w:r>
        <w:t xml:space="preserve">to highlight PBM practices in non-blood related conferences such as surgical and anaesthetic conferences. </w:t>
      </w:r>
      <w:r w:rsidR="005A7926">
        <w:t xml:space="preserve"> </w:t>
      </w:r>
    </w:p>
    <w:p w:rsidR="006C1343" w:rsidRDefault="00256908" w:rsidP="00FD0DC2">
      <w:pPr>
        <w:pStyle w:val="ListParagraph"/>
        <w:numPr>
          <w:ilvl w:val="0"/>
          <w:numId w:val="36"/>
        </w:numPr>
      </w:pPr>
      <w:proofErr w:type="gramStart"/>
      <w:r>
        <w:t>p</w:t>
      </w:r>
      <w:r w:rsidR="009A0D84">
        <w:t>articipating</w:t>
      </w:r>
      <w:proofErr w:type="gramEnd"/>
      <w:r w:rsidR="009A0D84">
        <w:t xml:space="preserve"> in shaping PBM conferences. </w:t>
      </w:r>
    </w:p>
    <w:p w:rsidR="00A31BAD" w:rsidRDefault="006C1343" w:rsidP="00FD0DC2">
      <w:r>
        <w:t xml:space="preserve">The NBA will </w:t>
      </w:r>
      <w:r w:rsidR="009A0D84">
        <w:t>c</w:t>
      </w:r>
      <w:r w:rsidR="00A31BAD">
        <w:t xml:space="preserve">onsider conducting an Australasian </w:t>
      </w:r>
      <w:r w:rsidR="008A63D1">
        <w:t>symposium</w:t>
      </w:r>
      <w:r w:rsidR="00A31BAD">
        <w:t xml:space="preserve"> to promote better practice in both inventory management and appropriate use.</w:t>
      </w:r>
    </w:p>
    <w:p w:rsidR="004611FC" w:rsidRDefault="004611FC" w:rsidP="004611FC">
      <w:pPr>
        <w:spacing w:after="0"/>
      </w:pPr>
    </w:p>
    <w:p w:rsidR="002B5912" w:rsidRDefault="002B5912">
      <w:pPr>
        <w:spacing w:after="0"/>
        <w:rPr>
          <w:rFonts w:ascii="Arial" w:hAnsi="Arial" w:cs="Arial"/>
          <w:caps/>
          <w:sz w:val="32"/>
          <w:szCs w:val="32"/>
        </w:rPr>
      </w:pPr>
      <w:r>
        <w:br w:type="page"/>
      </w:r>
    </w:p>
    <w:p w:rsidR="00E84F70" w:rsidRDefault="00E84F70" w:rsidP="00E84F70">
      <w:pPr>
        <w:pStyle w:val="Heading2"/>
      </w:pPr>
      <w:r>
        <w:lastRenderedPageBreak/>
        <w:t>DATA</w:t>
      </w:r>
    </w:p>
    <w:p w:rsidR="00E84F70" w:rsidRDefault="00E84F70" w:rsidP="00E84F70">
      <w:pPr>
        <w:pStyle w:val="Heading3"/>
      </w:pPr>
      <w:r>
        <w:t>data to support pbm practice improvement</w:t>
      </w:r>
    </w:p>
    <w:p w:rsidR="00E84F70" w:rsidRDefault="00E84F70" w:rsidP="004F40E9">
      <w:pPr>
        <w:spacing w:after="0"/>
      </w:pPr>
      <w:r>
        <w:t>The NBA will incorporate the development of key data sets and governance arrangements relevant to PBM as a part of its Information and Communications and Technology Strategy with an initial focus on:</w:t>
      </w:r>
    </w:p>
    <w:p w:rsidR="00E84F70" w:rsidRDefault="00256908" w:rsidP="00256908">
      <w:pPr>
        <w:pStyle w:val="ListParagraph"/>
        <w:numPr>
          <w:ilvl w:val="0"/>
          <w:numId w:val="36"/>
        </w:numPr>
      </w:pPr>
      <w:r>
        <w:t>d</w:t>
      </w:r>
      <w:r w:rsidR="00923B1E">
        <w:t>etermin</w:t>
      </w:r>
      <w:r w:rsidR="008A63D1">
        <w:t>ing</w:t>
      </w:r>
      <w:r w:rsidR="00923B1E">
        <w:t xml:space="preserve"> transfusion</w:t>
      </w:r>
      <w:r w:rsidR="001F3AD5">
        <w:t xml:space="preserve"> and PBM</w:t>
      </w:r>
      <w:r w:rsidR="00923B1E">
        <w:t xml:space="preserve"> data set(s) required </w:t>
      </w:r>
    </w:p>
    <w:p w:rsidR="00E84F70" w:rsidRDefault="00256908" w:rsidP="00256908">
      <w:pPr>
        <w:pStyle w:val="ListParagraph"/>
        <w:numPr>
          <w:ilvl w:val="0"/>
          <w:numId w:val="36"/>
        </w:numPr>
      </w:pPr>
      <w:r>
        <w:t>d</w:t>
      </w:r>
      <w:r w:rsidR="00923B1E">
        <w:t>evelop</w:t>
      </w:r>
      <w:r w:rsidR="008A63D1">
        <w:t>ing</w:t>
      </w:r>
      <w:r w:rsidR="00923B1E">
        <w:t xml:space="preserve"> p</w:t>
      </w:r>
      <w:r w:rsidR="00E84F70">
        <w:t>eer review reports</w:t>
      </w:r>
      <w:r w:rsidR="00923B1E">
        <w:t xml:space="preserve"> </w:t>
      </w:r>
    </w:p>
    <w:p w:rsidR="00E84F70" w:rsidRDefault="00256908" w:rsidP="00256908">
      <w:pPr>
        <w:pStyle w:val="ListParagraph"/>
        <w:numPr>
          <w:ilvl w:val="0"/>
          <w:numId w:val="36"/>
        </w:numPr>
      </w:pPr>
      <w:r>
        <w:t>d</w:t>
      </w:r>
      <w:r w:rsidR="00923B1E">
        <w:t>etermin</w:t>
      </w:r>
      <w:r w:rsidR="008A63D1">
        <w:t>ing</w:t>
      </w:r>
      <w:r w:rsidR="00923B1E">
        <w:t xml:space="preserve"> d</w:t>
      </w:r>
      <w:r w:rsidR="00E84F70">
        <w:t>ata access rule</w:t>
      </w:r>
      <w:r>
        <w:t>s specific to report audiences</w:t>
      </w:r>
    </w:p>
    <w:p w:rsidR="00923B1E" w:rsidRDefault="00256908" w:rsidP="00256908">
      <w:pPr>
        <w:pStyle w:val="ListParagraph"/>
        <w:numPr>
          <w:ilvl w:val="0"/>
          <w:numId w:val="36"/>
        </w:numPr>
      </w:pPr>
      <w:proofErr w:type="gramStart"/>
      <w:r>
        <w:t>d</w:t>
      </w:r>
      <w:r w:rsidR="00923B1E">
        <w:t>evelop</w:t>
      </w:r>
      <w:r w:rsidR="008A63D1">
        <w:t>ing</w:t>
      </w:r>
      <w:proofErr w:type="gramEnd"/>
      <w:r w:rsidR="00923B1E">
        <w:t xml:space="preserve"> electronic audit tools (see above)</w:t>
      </w:r>
      <w:r>
        <w:t>.</w:t>
      </w:r>
    </w:p>
    <w:p w:rsidR="002B5912" w:rsidRDefault="002B5912">
      <w:pPr>
        <w:spacing w:after="0"/>
      </w:pPr>
      <w:r>
        <w:br w:type="page"/>
      </w:r>
    </w:p>
    <w:p w:rsidR="00E84F70" w:rsidRDefault="00E84F70" w:rsidP="002B5912">
      <w:pPr>
        <w:spacing w:after="0" w:line="312" w:lineRule="auto"/>
      </w:pPr>
    </w:p>
    <w:tbl>
      <w:tblPr>
        <w:tblStyle w:val="NBATableStyle1"/>
        <w:tblW w:w="5015" w:type="pct"/>
        <w:tblLook w:val="04A0" w:firstRow="1" w:lastRow="0" w:firstColumn="1" w:lastColumn="0" w:noHBand="0" w:noVBand="1"/>
      </w:tblPr>
      <w:tblGrid>
        <w:gridCol w:w="5925"/>
        <w:gridCol w:w="708"/>
        <w:gridCol w:w="708"/>
        <w:gridCol w:w="706"/>
        <w:gridCol w:w="708"/>
        <w:gridCol w:w="708"/>
      </w:tblGrid>
      <w:tr w:rsidR="00FD0DC2" w:rsidTr="00FD0DC2">
        <w:trPr>
          <w:cnfStyle w:val="100000000000" w:firstRow="1" w:lastRow="0" w:firstColumn="0" w:lastColumn="0" w:oddVBand="0" w:evenVBand="0" w:oddHBand="0" w:evenHBand="0" w:firstRowFirstColumn="0" w:firstRowLastColumn="0" w:lastRowFirstColumn="0" w:lastRowLastColumn="0"/>
          <w:tblHeader/>
        </w:trPr>
        <w:tc>
          <w:tcPr>
            <w:tcW w:w="3131" w:type="pct"/>
          </w:tcPr>
          <w:p w:rsidR="000D6665" w:rsidRDefault="005E09F8" w:rsidP="00790985">
            <w:r>
              <w:t xml:space="preserve">Implementation </w:t>
            </w:r>
            <w:r w:rsidR="000D6665">
              <w:t xml:space="preserve">Activity </w:t>
            </w:r>
          </w:p>
        </w:tc>
        <w:tc>
          <w:tcPr>
            <w:tcW w:w="374" w:type="pct"/>
          </w:tcPr>
          <w:p w:rsidR="000D6665" w:rsidRDefault="000D6665" w:rsidP="00790985">
            <w:r>
              <w:t>2013</w:t>
            </w:r>
          </w:p>
        </w:tc>
        <w:tc>
          <w:tcPr>
            <w:tcW w:w="374" w:type="pct"/>
          </w:tcPr>
          <w:p w:rsidR="000D6665" w:rsidRDefault="000D6665" w:rsidP="00790985">
            <w:r>
              <w:t>2014</w:t>
            </w:r>
          </w:p>
        </w:tc>
        <w:tc>
          <w:tcPr>
            <w:tcW w:w="373" w:type="pct"/>
          </w:tcPr>
          <w:p w:rsidR="000D6665" w:rsidRDefault="000D6665" w:rsidP="00790985">
            <w:r>
              <w:t>2015</w:t>
            </w:r>
          </w:p>
        </w:tc>
        <w:tc>
          <w:tcPr>
            <w:tcW w:w="374" w:type="pct"/>
          </w:tcPr>
          <w:p w:rsidR="000D6665" w:rsidRDefault="000D6665" w:rsidP="00790985">
            <w:r>
              <w:t>2016</w:t>
            </w:r>
          </w:p>
        </w:tc>
        <w:tc>
          <w:tcPr>
            <w:tcW w:w="374" w:type="pct"/>
          </w:tcPr>
          <w:p w:rsidR="000D6665" w:rsidRDefault="000D6665" w:rsidP="00790985">
            <w:r>
              <w:t>2017</w:t>
            </w:r>
          </w:p>
        </w:tc>
      </w:tr>
      <w:tr w:rsidR="00FD0DC2" w:rsidRPr="00051DF5" w:rsidTr="00FD0DC2">
        <w:tc>
          <w:tcPr>
            <w:tcW w:w="3131" w:type="pct"/>
            <w:shd w:val="clear" w:color="auto" w:fill="FFD5D5"/>
          </w:tcPr>
          <w:p w:rsidR="000D6665" w:rsidRPr="007636E2" w:rsidRDefault="0096562F" w:rsidP="00790985">
            <w:pPr>
              <w:rPr>
                <w:b/>
              </w:rPr>
            </w:pPr>
            <w:r>
              <w:rPr>
                <w:b/>
              </w:rPr>
              <w:t>PBM</w:t>
            </w:r>
            <w:r w:rsidR="000D6665">
              <w:rPr>
                <w:b/>
              </w:rPr>
              <w:t xml:space="preserve"> Tools</w:t>
            </w:r>
          </w:p>
        </w:tc>
        <w:tc>
          <w:tcPr>
            <w:tcW w:w="374" w:type="pct"/>
            <w:shd w:val="clear" w:color="auto" w:fill="F2DBDB" w:themeFill="accent2" w:themeFillTint="33"/>
          </w:tcPr>
          <w:p w:rsidR="000D6665" w:rsidRPr="00790985" w:rsidRDefault="000D6665" w:rsidP="00790985">
            <w:pPr>
              <w:jc w:val="center"/>
            </w:pPr>
          </w:p>
        </w:tc>
        <w:tc>
          <w:tcPr>
            <w:tcW w:w="374" w:type="pct"/>
            <w:shd w:val="clear" w:color="auto" w:fill="F2DBDB" w:themeFill="accent2" w:themeFillTint="33"/>
          </w:tcPr>
          <w:p w:rsidR="000D6665" w:rsidRPr="00790985" w:rsidRDefault="000D6665" w:rsidP="00790985">
            <w:pPr>
              <w:jc w:val="center"/>
            </w:pPr>
          </w:p>
        </w:tc>
        <w:tc>
          <w:tcPr>
            <w:tcW w:w="373" w:type="pct"/>
            <w:shd w:val="clear" w:color="auto" w:fill="F2DBDB" w:themeFill="accent2" w:themeFillTint="33"/>
          </w:tcPr>
          <w:p w:rsidR="000D6665" w:rsidRPr="00790985" w:rsidRDefault="000D6665" w:rsidP="00790985">
            <w:pPr>
              <w:jc w:val="center"/>
            </w:pPr>
          </w:p>
        </w:tc>
        <w:tc>
          <w:tcPr>
            <w:tcW w:w="374" w:type="pct"/>
            <w:shd w:val="clear" w:color="auto" w:fill="F2DBDB" w:themeFill="accent2" w:themeFillTint="33"/>
          </w:tcPr>
          <w:p w:rsidR="000D6665" w:rsidRPr="00790985" w:rsidRDefault="000D6665" w:rsidP="00790985">
            <w:pPr>
              <w:jc w:val="center"/>
            </w:pPr>
          </w:p>
        </w:tc>
        <w:tc>
          <w:tcPr>
            <w:tcW w:w="374" w:type="pct"/>
            <w:shd w:val="clear" w:color="auto" w:fill="F2DBDB" w:themeFill="accent2" w:themeFillTint="33"/>
          </w:tcPr>
          <w:p w:rsidR="000D6665" w:rsidRPr="00790985" w:rsidRDefault="000D6665" w:rsidP="00790985">
            <w:pPr>
              <w:jc w:val="center"/>
            </w:pPr>
          </w:p>
        </w:tc>
      </w:tr>
      <w:tr w:rsidR="000D6665" w:rsidRPr="00051DF5" w:rsidTr="00FD0DC2">
        <w:tc>
          <w:tcPr>
            <w:tcW w:w="3131" w:type="pct"/>
            <w:shd w:val="clear" w:color="auto" w:fill="FFD5D5"/>
          </w:tcPr>
          <w:p w:rsidR="000D6665" w:rsidRPr="00790985" w:rsidRDefault="000D6665" w:rsidP="005D00FE">
            <w:r>
              <w:t xml:space="preserve">Determine requirements for a National </w:t>
            </w:r>
            <w:r w:rsidR="005D00FE">
              <w:t xml:space="preserve">PBM </w:t>
            </w:r>
            <w:r>
              <w:t xml:space="preserve">Reference </w:t>
            </w:r>
            <w:r w:rsidR="005D00FE">
              <w:t xml:space="preserve">Tool </w:t>
            </w:r>
            <w:r>
              <w:t xml:space="preserve">Set </w:t>
            </w:r>
          </w:p>
        </w:tc>
        <w:tc>
          <w:tcPr>
            <w:tcW w:w="374" w:type="pct"/>
            <w:shd w:val="clear" w:color="auto" w:fill="92CDDC"/>
          </w:tcPr>
          <w:p w:rsidR="000D6665" w:rsidRPr="00790985" w:rsidRDefault="000D6665" w:rsidP="00790985">
            <w:pPr>
              <w:jc w:val="center"/>
            </w:pPr>
          </w:p>
        </w:tc>
        <w:tc>
          <w:tcPr>
            <w:tcW w:w="374" w:type="pct"/>
          </w:tcPr>
          <w:p w:rsidR="000D6665" w:rsidRPr="00790985" w:rsidRDefault="000D6665" w:rsidP="00790985">
            <w:pPr>
              <w:jc w:val="center"/>
            </w:pPr>
          </w:p>
        </w:tc>
        <w:tc>
          <w:tcPr>
            <w:tcW w:w="373" w:type="pct"/>
          </w:tcPr>
          <w:p w:rsidR="000D6665" w:rsidRPr="00790985" w:rsidRDefault="000D6665" w:rsidP="00790985">
            <w:pPr>
              <w:jc w:val="center"/>
            </w:pPr>
          </w:p>
        </w:tc>
        <w:tc>
          <w:tcPr>
            <w:tcW w:w="374" w:type="pct"/>
          </w:tcPr>
          <w:p w:rsidR="000D6665" w:rsidRPr="00790985" w:rsidRDefault="000D6665" w:rsidP="00790985">
            <w:pPr>
              <w:jc w:val="center"/>
            </w:pPr>
          </w:p>
        </w:tc>
        <w:tc>
          <w:tcPr>
            <w:tcW w:w="374" w:type="pct"/>
          </w:tcPr>
          <w:p w:rsidR="000D6665" w:rsidRPr="00790985" w:rsidRDefault="000D6665" w:rsidP="00790985">
            <w:pPr>
              <w:jc w:val="center"/>
            </w:pPr>
          </w:p>
        </w:tc>
      </w:tr>
      <w:tr w:rsidR="000D6665" w:rsidRPr="00051DF5" w:rsidTr="00FD0DC2">
        <w:tc>
          <w:tcPr>
            <w:tcW w:w="3131" w:type="pct"/>
            <w:shd w:val="clear" w:color="auto" w:fill="FFD5D5"/>
          </w:tcPr>
          <w:p w:rsidR="000D6665" w:rsidRDefault="005D00FE" w:rsidP="005D00FE">
            <w:r>
              <w:t>Adapt</w:t>
            </w:r>
            <w:r w:rsidR="000D6665">
              <w:t xml:space="preserve"> </w:t>
            </w:r>
            <w:r>
              <w:t xml:space="preserve">available </w:t>
            </w:r>
            <w:r w:rsidR="000D6665">
              <w:t xml:space="preserve">existing tools </w:t>
            </w:r>
            <w:r>
              <w:t xml:space="preserve">for the PBM </w:t>
            </w:r>
            <w:r w:rsidR="000D6665">
              <w:t xml:space="preserve">Reference </w:t>
            </w:r>
            <w:r>
              <w:t xml:space="preserve">Tool </w:t>
            </w:r>
            <w:r w:rsidR="000D6665">
              <w:t>Set</w:t>
            </w:r>
            <w:r>
              <w:t xml:space="preserve"> </w:t>
            </w:r>
          </w:p>
        </w:tc>
        <w:tc>
          <w:tcPr>
            <w:tcW w:w="374" w:type="pct"/>
            <w:shd w:val="clear" w:color="auto" w:fill="92CDDC"/>
          </w:tcPr>
          <w:p w:rsidR="000D6665" w:rsidRPr="00790985" w:rsidRDefault="000D6665" w:rsidP="00790985">
            <w:pPr>
              <w:jc w:val="center"/>
            </w:pPr>
          </w:p>
        </w:tc>
        <w:tc>
          <w:tcPr>
            <w:tcW w:w="374" w:type="pct"/>
            <w:shd w:val="clear" w:color="auto" w:fill="92CDDC" w:themeFill="accent5" w:themeFillTint="99"/>
          </w:tcPr>
          <w:p w:rsidR="000D6665" w:rsidRPr="00790985" w:rsidRDefault="000D6665" w:rsidP="00790985">
            <w:pPr>
              <w:jc w:val="center"/>
            </w:pPr>
          </w:p>
        </w:tc>
        <w:tc>
          <w:tcPr>
            <w:tcW w:w="373" w:type="pct"/>
          </w:tcPr>
          <w:p w:rsidR="000D6665" w:rsidRPr="00790985" w:rsidRDefault="000D6665" w:rsidP="00790985">
            <w:pPr>
              <w:jc w:val="center"/>
            </w:pPr>
          </w:p>
        </w:tc>
        <w:tc>
          <w:tcPr>
            <w:tcW w:w="374" w:type="pct"/>
          </w:tcPr>
          <w:p w:rsidR="000D6665" w:rsidRPr="00790985" w:rsidRDefault="000D6665" w:rsidP="00790985">
            <w:pPr>
              <w:jc w:val="center"/>
            </w:pPr>
          </w:p>
        </w:tc>
        <w:tc>
          <w:tcPr>
            <w:tcW w:w="374" w:type="pct"/>
          </w:tcPr>
          <w:p w:rsidR="000D6665" w:rsidRPr="00790985" w:rsidRDefault="000D6665" w:rsidP="00790985">
            <w:pPr>
              <w:jc w:val="center"/>
            </w:pPr>
          </w:p>
        </w:tc>
      </w:tr>
      <w:tr w:rsidR="005D00FE" w:rsidRPr="00051DF5" w:rsidTr="00FD0DC2">
        <w:tc>
          <w:tcPr>
            <w:tcW w:w="3131" w:type="pct"/>
            <w:shd w:val="clear" w:color="auto" w:fill="FFD5D5"/>
          </w:tcPr>
          <w:p w:rsidR="005D00FE" w:rsidRDefault="005D00FE" w:rsidP="005D00FE">
            <w:r>
              <w:t>Develop a searchable online database to access</w:t>
            </w:r>
            <w:r w:rsidR="002D6926">
              <w:t xml:space="preserve"> information</w:t>
            </w:r>
          </w:p>
        </w:tc>
        <w:tc>
          <w:tcPr>
            <w:tcW w:w="374" w:type="pct"/>
            <w:shd w:val="clear" w:color="auto" w:fill="92CDDC" w:themeFill="accent5" w:themeFillTint="99"/>
          </w:tcPr>
          <w:p w:rsidR="005D00FE" w:rsidRPr="00BD69E4" w:rsidRDefault="005D00FE" w:rsidP="00BD69E4">
            <w:pPr>
              <w:rPr>
                <w:rFonts w:asciiTheme="majorHAnsi" w:hAnsiTheme="majorHAnsi"/>
                <w:sz w:val="24"/>
                <w:szCs w:val="24"/>
              </w:rPr>
            </w:pPr>
          </w:p>
        </w:tc>
        <w:tc>
          <w:tcPr>
            <w:tcW w:w="374" w:type="pct"/>
            <w:shd w:val="clear" w:color="auto" w:fill="92CDDC" w:themeFill="accent5" w:themeFillTint="99"/>
          </w:tcPr>
          <w:p w:rsidR="005D00FE" w:rsidRPr="00790985" w:rsidRDefault="005D00FE" w:rsidP="00790985">
            <w:pPr>
              <w:jc w:val="center"/>
            </w:pPr>
          </w:p>
        </w:tc>
        <w:tc>
          <w:tcPr>
            <w:tcW w:w="373" w:type="pct"/>
            <w:shd w:val="clear" w:color="auto" w:fill="92CDDC" w:themeFill="accent5" w:themeFillTint="99"/>
          </w:tcPr>
          <w:p w:rsidR="005D00FE" w:rsidRPr="00790985" w:rsidRDefault="005D00FE" w:rsidP="00790985">
            <w:pPr>
              <w:jc w:val="center"/>
            </w:pPr>
          </w:p>
        </w:tc>
        <w:tc>
          <w:tcPr>
            <w:tcW w:w="374" w:type="pct"/>
          </w:tcPr>
          <w:p w:rsidR="005D00FE" w:rsidRPr="00790985" w:rsidRDefault="005D00FE" w:rsidP="00790985">
            <w:pPr>
              <w:jc w:val="center"/>
            </w:pPr>
          </w:p>
        </w:tc>
        <w:tc>
          <w:tcPr>
            <w:tcW w:w="374" w:type="pct"/>
          </w:tcPr>
          <w:p w:rsidR="005D00FE" w:rsidRPr="00790985" w:rsidRDefault="005D00FE" w:rsidP="00790985">
            <w:pPr>
              <w:jc w:val="center"/>
            </w:pPr>
          </w:p>
        </w:tc>
      </w:tr>
      <w:tr w:rsidR="000D6665" w:rsidRPr="00051DF5" w:rsidTr="00FD0DC2">
        <w:tc>
          <w:tcPr>
            <w:tcW w:w="3131" w:type="pct"/>
            <w:shd w:val="clear" w:color="auto" w:fill="FFD5D5"/>
          </w:tcPr>
          <w:p w:rsidR="000D6665" w:rsidRPr="00790985" w:rsidRDefault="000D6665" w:rsidP="00765C2E">
            <w:r>
              <w:t>Commission development of tools to address gaps</w:t>
            </w:r>
          </w:p>
        </w:tc>
        <w:tc>
          <w:tcPr>
            <w:tcW w:w="374" w:type="pct"/>
            <w:shd w:val="clear" w:color="auto" w:fill="F2F2F2"/>
          </w:tcPr>
          <w:p w:rsidR="000D6665" w:rsidRPr="00BD69E4" w:rsidRDefault="000D6665" w:rsidP="00BD69E4">
            <w:pPr>
              <w:rPr>
                <w:rFonts w:asciiTheme="majorHAnsi" w:hAnsiTheme="majorHAnsi"/>
                <w:sz w:val="24"/>
                <w:szCs w:val="24"/>
              </w:rPr>
            </w:pPr>
          </w:p>
        </w:tc>
        <w:tc>
          <w:tcPr>
            <w:tcW w:w="374" w:type="pct"/>
            <w:shd w:val="clear" w:color="auto" w:fill="92CDDC" w:themeFill="accent5" w:themeFillTint="99"/>
          </w:tcPr>
          <w:p w:rsidR="000D6665" w:rsidRPr="00790985" w:rsidRDefault="000D6665" w:rsidP="00790985">
            <w:pPr>
              <w:jc w:val="center"/>
            </w:pPr>
          </w:p>
        </w:tc>
        <w:tc>
          <w:tcPr>
            <w:tcW w:w="373" w:type="pct"/>
            <w:shd w:val="clear" w:color="auto" w:fill="92CDDC" w:themeFill="accent5" w:themeFillTint="99"/>
          </w:tcPr>
          <w:p w:rsidR="000D6665" w:rsidRPr="00790985" w:rsidRDefault="000D6665" w:rsidP="00790985">
            <w:pPr>
              <w:jc w:val="center"/>
            </w:pPr>
          </w:p>
        </w:tc>
        <w:tc>
          <w:tcPr>
            <w:tcW w:w="374" w:type="pct"/>
          </w:tcPr>
          <w:p w:rsidR="000D6665" w:rsidRPr="00790985" w:rsidRDefault="000D6665" w:rsidP="00790985">
            <w:pPr>
              <w:jc w:val="center"/>
            </w:pPr>
          </w:p>
        </w:tc>
        <w:tc>
          <w:tcPr>
            <w:tcW w:w="374" w:type="pct"/>
          </w:tcPr>
          <w:p w:rsidR="000D6665" w:rsidRPr="00790985" w:rsidRDefault="000D6665" w:rsidP="00790985">
            <w:pPr>
              <w:jc w:val="center"/>
            </w:pPr>
          </w:p>
        </w:tc>
      </w:tr>
      <w:tr w:rsidR="00FD0DC2" w:rsidRPr="00051DF5" w:rsidTr="00FD0DC2">
        <w:tc>
          <w:tcPr>
            <w:tcW w:w="3131" w:type="pct"/>
            <w:shd w:val="clear" w:color="auto" w:fill="FFD5D5"/>
          </w:tcPr>
          <w:p w:rsidR="000D6665" w:rsidRPr="007636E2" w:rsidRDefault="005D00FE" w:rsidP="004C00EA">
            <w:r>
              <w:t>P</w:t>
            </w:r>
            <w:r w:rsidR="000D6665">
              <w:t>ublish tools to address gaps</w:t>
            </w:r>
          </w:p>
        </w:tc>
        <w:tc>
          <w:tcPr>
            <w:tcW w:w="374" w:type="pct"/>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c>
          <w:tcPr>
            <w:tcW w:w="373"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4C00EA">
            <w:r>
              <w:t xml:space="preserve">Review and update National </w:t>
            </w:r>
            <w:r w:rsidR="005D00FE">
              <w:t xml:space="preserve">PBM </w:t>
            </w:r>
            <w:r>
              <w:t xml:space="preserve">Reference </w:t>
            </w:r>
            <w:r w:rsidR="005D00FE">
              <w:t xml:space="preserve">Tool </w:t>
            </w:r>
            <w:r>
              <w:t>Set</w:t>
            </w:r>
          </w:p>
        </w:tc>
        <w:tc>
          <w:tcPr>
            <w:tcW w:w="374" w:type="pct"/>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c>
          <w:tcPr>
            <w:tcW w:w="373"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r>
      <w:tr w:rsidR="00FD0DC2" w:rsidRPr="00051DF5" w:rsidTr="00FD0DC2">
        <w:trPr>
          <w:trHeight w:val="44"/>
        </w:trPr>
        <w:tc>
          <w:tcPr>
            <w:tcW w:w="3131" w:type="pct"/>
            <w:shd w:val="clear" w:color="auto" w:fill="FFD5D5"/>
          </w:tcPr>
          <w:p w:rsidR="000D6665" w:rsidRDefault="000D6665" w:rsidP="00E24657">
            <w:pPr>
              <w:rPr>
                <w:b/>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3"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0D6665" w:rsidRPr="007636E2" w:rsidRDefault="000D6665" w:rsidP="00E24657">
            <w:pPr>
              <w:rPr>
                <w:b/>
              </w:rPr>
            </w:pPr>
            <w:r>
              <w:rPr>
                <w:b/>
              </w:rPr>
              <w:t>Education and Training</w:t>
            </w: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3"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c>
          <w:tcPr>
            <w:tcW w:w="374" w:type="pct"/>
            <w:shd w:val="clear" w:color="auto" w:fill="F2DBDB" w:themeFill="accent2" w:themeFillTint="33"/>
          </w:tcPr>
          <w:p w:rsidR="000D6665" w:rsidRPr="00051DF5" w:rsidRDefault="000D6665" w:rsidP="00790985">
            <w:pPr>
              <w:rPr>
                <w:rFonts w:asciiTheme="majorHAnsi" w:hAnsiTheme="majorHAnsi"/>
                <w:sz w:val="24"/>
                <w:szCs w:val="24"/>
              </w:rPr>
            </w:pPr>
          </w:p>
        </w:tc>
      </w:tr>
      <w:tr w:rsidR="000D6665" w:rsidRPr="00051DF5" w:rsidTr="00FD0DC2">
        <w:tc>
          <w:tcPr>
            <w:tcW w:w="3131" w:type="pct"/>
            <w:shd w:val="clear" w:color="auto" w:fill="FFD5D5"/>
          </w:tcPr>
          <w:p w:rsidR="000D6665" w:rsidRDefault="000D6665" w:rsidP="009E6296">
            <w:r>
              <w:t xml:space="preserve">Extend eLearning PBM courses </w:t>
            </w:r>
          </w:p>
        </w:tc>
        <w:tc>
          <w:tcPr>
            <w:tcW w:w="374"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3"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0D6665" w:rsidRPr="004F7B06" w:rsidRDefault="000D6665" w:rsidP="00663C9D">
            <w:r w:rsidRPr="004F7B06">
              <w:t>Investigate and support hospital based education and training</w:t>
            </w: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3"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r>
      <w:tr w:rsidR="000D6665" w:rsidRPr="00051DF5" w:rsidTr="00FD0DC2">
        <w:tc>
          <w:tcPr>
            <w:tcW w:w="3131" w:type="pct"/>
            <w:shd w:val="clear" w:color="auto" w:fill="FFD5D5"/>
          </w:tcPr>
          <w:p w:rsidR="000D6665" w:rsidRDefault="000D6665" w:rsidP="00E24657">
            <w:r>
              <w:t>Education for General Practitioners</w:t>
            </w:r>
          </w:p>
        </w:tc>
        <w:tc>
          <w:tcPr>
            <w:tcW w:w="374" w:type="pct"/>
          </w:tcPr>
          <w:p w:rsidR="000D6665" w:rsidRPr="00051DF5" w:rsidRDefault="000D6665" w:rsidP="00790985">
            <w:pPr>
              <w:rPr>
                <w:rFonts w:asciiTheme="majorHAnsi" w:hAnsiTheme="majorHAnsi"/>
                <w:sz w:val="24"/>
                <w:szCs w:val="24"/>
              </w:rPr>
            </w:pP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3" w:type="pct"/>
            <w:shd w:val="clear" w:color="auto" w:fill="92CDDC"/>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0D6665" w:rsidRPr="00663C9D" w:rsidRDefault="000D6665" w:rsidP="00E24657">
            <w:r>
              <w:t>PBM training for Specialist Practitioners</w:t>
            </w:r>
          </w:p>
        </w:tc>
        <w:tc>
          <w:tcPr>
            <w:tcW w:w="374" w:type="pct"/>
            <w:shd w:val="clear" w:color="auto" w:fill="F2F2F2"/>
          </w:tcPr>
          <w:p w:rsidR="000D6665" w:rsidRPr="00051DF5" w:rsidRDefault="000D6665" w:rsidP="00790985">
            <w:pPr>
              <w:rPr>
                <w:rFonts w:asciiTheme="majorHAnsi" w:hAnsiTheme="majorHAnsi"/>
                <w:sz w:val="24"/>
                <w:szCs w:val="24"/>
              </w:rPr>
            </w:pPr>
          </w:p>
        </w:tc>
        <w:tc>
          <w:tcPr>
            <w:tcW w:w="374" w:type="pct"/>
          </w:tcPr>
          <w:p w:rsidR="000D6665" w:rsidRPr="00051DF5" w:rsidRDefault="000D6665" w:rsidP="00790985">
            <w:pPr>
              <w:rPr>
                <w:rFonts w:asciiTheme="majorHAnsi" w:hAnsiTheme="majorHAnsi"/>
                <w:sz w:val="24"/>
                <w:szCs w:val="24"/>
              </w:rPr>
            </w:pPr>
          </w:p>
        </w:tc>
        <w:tc>
          <w:tcPr>
            <w:tcW w:w="373" w:type="pct"/>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c>
          <w:tcPr>
            <w:tcW w:w="374" w:type="pct"/>
            <w:shd w:val="clear" w:color="auto" w:fill="92CDDC"/>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E24657">
            <w:pPr>
              <w:rPr>
                <w:b/>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3"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Pr="004C00EA" w:rsidRDefault="000D6665" w:rsidP="00E24657">
            <w:pPr>
              <w:rPr>
                <w:b/>
              </w:rPr>
            </w:pPr>
            <w:r>
              <w:rPr>
                <w:b/>
              </w:rPr>
              <w:t>Promotion/Communication</w:t>
            </w: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3"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Pr="00D947F0" w:rsidRDefault="000D6665" w:rsidP="006A351A">
            <w:r>
              <w:t xml:space="preserve">Targeted PBM Campaigns: </w:t>
            </w: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3"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c>
          <w:tcPr>
            <w:tcW w:w="374" w:type="pct"/>
            <w:shd w:val="clear" w:color="auto" w:fill="F2DBDB" w:themeFill="accent2" w:themeFillTint="33"/>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624F41">
            <w:r>
              <w:t>- restrictive transfusion/single unit policy</w:t>
            </w: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c>
          <w:tcPr>
            <w:tcW w:w="373"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0D6665">
            <w:r>
              <w:t>- fit for surgery</w:t>
            </w:r>
          </w:p>
        </w:tc>
        <w:tc>
          <w:tcPr>
            <w:tcW w:w="374"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3"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0D6665">
            <w:r>
              <w:t xml:space="preserve">- the </w:t>
            </w:r>
            <w:r w:rsidR="00860FCE">
              <w:t>cost</w:t>
            </w:r>
            <w:r>
              <w:t xml:space="preserve"> of blood</w:t>
            </w:r>
          </w:p>
        </w:tc>
        <w:tc>
          <w:tcPr>
            <w:tcW w:w="374"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c>
          <w:tcPr>
            <w:tcW w:w="373"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c>
          <w:tcPr>
            <w:tcW w:w="374" w:type="pct"/>
            <w:shd w:val="clear" w:color="auto" w:fill="F2F2F2"/>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Default="000D6665" w:rsidP="00624F41">
            <w:r>
              <w:t>Supporting PBM Network</w:t>
            </w: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3"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c>
          <w:tcPr>
            <w:tcW w:w="374" w:type="pct"/>
            <w:shd w:val="clear" w:color="auto" w:fill="92CDDC" w:themeFill="accent5" w:themeFillTint="99"/>
          </w:tcPr>
          <w:p w:rsidR="000D6665" w:rsidRPr="00051DF5" w:rsidRDefault="000D6665" w:rsidP="00624F41">
            <w:pPr>
              <w:rPr>
                <w:rFonts w:asciiTheme="majorHAnsi" w:hAnsiTheme="majorHAnsi"/>
                <w:sz w:val="24"/>
                <w:szCs w:val="24"/>
              </w:rPr>
            </w:pPr>
          </w:p>
        </w:tc>
      </w:tr>
      <w:tr w:rsidR="00FD0DC2" w:rsidRPr="00051DF5" w:rsidTr="00FD0DC2">
        <w:tc>
          <w:tcPr>
            <w:tcW w:w="3131" w:type="pct"/>
            <w:shd w:val="clear" w:color="auto" w:fill="FFD5D5"/>
          </w:tcPr>
          <w:p w:rsidR="000D6665" w:rsidRPr="00D3508C" w:rsidRDefault="000D6665" w:rsidP="006121BD">
            <w:r w:rsidRPr="00D3508C">
              <w:t>Conferences</w:t>
            </w: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3"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c>
          <w:tcPr>
            <w:tcW w:w="374" w:type="pct"/>
            <w:shd w:val="clear" w:color="auto" w:fill="92CDDC" w:themeFill="accent5" w:themeFillTint="99"/>
          </w:tcPr>
          <w:p w:rsidR="000D6665" w:rsidRPr="00051DF5" w:rsidRDefault="000D6665" w:rsidP="00790985">
            <w:pPr>
              <w:rPr>
                <w:rFonts w:asciiTheme="majorHAnsi" w:hAnsiTheme="majorHAnsi"/>
                <w:sz w:val="24"/>
                <w:szCs w:val="24"/>
              </w:rPr>
            </w:pPr>
          </w:p>
        </w:tc>
      </w:tr>
      <w:tr w:rsidR="00FD0DC2" w:rsidRPr="00051DF5" w:rsidTr="00FD0DC2">
        <w:tc>
          <w:tcPr>
            <w:tcW w:w="3131" w:type="pct"/>
            <w:shd w:val="clear" w:color="auto" w:fill="FFD5D5"/>
          </w:tcPr>
          <w:p w:rsidR="002B5912" w:rsidRDefault="002B5912" w:rsidP="006121BD">
            <w:pPr>
              <w:rPr>
                <w:sz w:val="21"/>
                <w:szCs w:val="21"/>
              </w:rPr>
            </w:pPr>
          </w:p>
        </w:tc>
        <w:tc>
          <w:tcPr>
            <w:tcW w:w="374" w:type="pct"/>
            <w:shd w:val="clear" w:color="auto" w:fill="F2DBDB" w:themeFill="accent2" w:themeFillTint="33"/>
          </w:tcPr>
          <w:p w:rsidR="002B5912" w:rsidRPr="00051DF5" w:rsidRDefault="002B5912" w:rsidP="00790985">
            <w:pPr>
              <w:rPr>
                <w:rFonts w:asciiTheme="majorHAnsi" w:hAnsiTheme="majorHAnsi"/>
                <w:sz w:val="24"/>
                <w:szCs w:val="24"/>
              </w:rPr>
            </w:pPr>
          </w:p>
        </w:tc>
        <w:tc>
          <w:tcPr>
            <w:tcW w:w="374" w:type="pct"/>
            <w:shd w:val="clear" w:color="auto" w:fill="F2DBDB" w:themeFill="accent2" w:themeFillTint="33"/>
          </w:tcPr>
          <w:p w:rsidR="002B5912" w:rsidRPr="00051DF5" w:rsidRDefault="002B5912" w:rsidP="00790985">
            <w:pPr>
              <w:rPr>
                <w:rFonts w:asciiTheme="majorHAnsi" w:hAnsiTheme="majorHAnsi"/>
                <w:sz w:val="24"/>
                <w:szCs w:val="24"/>
              </w:rPr>
            </w:pPr>
          </w:p>
        </w:tc>
        <w:tc>
          <w:tcPr>
            <w:tcW w:w="373" w:type="pct"/>
            <w:shd w:val="clear" w:color="auto" w:fill="F2DBDB" w:themeFill="accent2" w:themeFillTint="33"/>
          </w:tcPr>
          <w:p w:rsidR="002B5912" w:rsidRPr="00051DF5" w:rsidRDefault="002B5912" w:rsidP="00790985">
            <w:pPr>
              <w:rPr>
                <w:rFonts w:asciiTheme="majorHAnsi" w:hAnsiTheme="majorHAnsi"/>
                <w:sz w:val="24"/>
                <w:szCs w:val="24"/>
              </w:rPr>
            </w:pPr>
          </w:p>
        </w:tc>
        <w:tc>
          <w:tcPr>
            <w:tcW w:w="374" w:type="pct"/>
            <w:shd w:val="clear" w:color="auto" w:fill="F2DBDB" w:themeFill="accent2" w:themeFillTint="33"/>
          </w:tcPr>
          <w:p w:rsidR="002B5912" w:rsidRPr="00051DF5" w:rsidRDefault="002B5912" w:rsidP="00790985">
            <w:pPr>
              <w:rPr>
                <w:rFonts w:asciiTheme="majorHAnsi" w:hAnsiTheme="majorHAnsi"/>
                <w:sz w:val="24"/>
                <w:szCs w:val="24"/>
              </w:rPr>
            </w:pPr>
          </w:p>
        </w:tc>
        <w:tc>
          <w:tcPr>
            <w:tcW w:w="374" w:type="pct"/>
            <w:shd w:val="clear" w:color="auto" w:fill="F2DBDB" w:themeFill="accent2" w:themeFillTint="33"/>
          </w:tcPr>
          <w:p w:rsidR="002B5912" w:rsidRPr="00051DF5" w:rsidRDefault="002B5912" w:rsidP="00790985">
            <w:pPr>
              <w:rPr>
                <w:rFonts w:asciiTheme="majorHAnsi" w:hAnsiTheme="majorHAnsi"/>
                <w:sz w:val="24"/>
                <w:szCs w:val="24"/>
              </w:rPr>
            </w:pPr>
          </w:p>
        </w:tc>
      </w:tr>
      <w:tr w:rsidR="00FD0DC2" w:rsidRPr="00051DF5" w:rsidTr="00FD0DC2">
        <w:tc>
          <w:tcPr>
            <w:tcW w:w="3131" w:type="pct"/>
            <w:shd w:val="clear" w:color="auto" w:fill="FFD5D5"/>
          </w:tcPr>
          <w:p w:rsidR="002B5912" w:rsidRPr="007636E2" w:rsidRDefault="002B5912" w:rsidP="00941E15">
            <w:pPr>
              <w:rPr>
                <w:b/>
              </w:rPr>
            </w:pPr>
            <w:r>
              <w:rPr>
                <w:b/>
              </w:rPr>
              <w:t>Data</w:t>
            </w:r>
            <w:r w:rsidR="00923B1E">
              <w:rPr>
                <w:b/>
              </w:rPr>
              <w:t xml:space="preserve"> to support PBM quality improvement</w:t>
            </w:r>
          </w:p>
        </w:tc>
        <w:tc>
          <w:tcPr>
            <w:tcW w:w="374" w:type="pct"/>
            <w:shd w:val="clear" w:color="auto" w:fill="F2DBDB" w:themeFill="accent2" w:themeFillTint="33"/>
          </w:tcPr>
          <w:p w:rsidR="002B5912" w:rsidRPr="00790985" w:rsidRDefault="002B5912" w:rsidP="00941E15">
            <w:pPr>
              <w:jc w:val="center"/>
            </w:pPr>
          </w:p>
        </w:tc>
        <w:tc>
          <w:tcPr>
            <w:tcW w:w="374" w:type="pct"/>
            <w:shd w:val="clear" w:color="auto" w:fill="F2DBDB" w:themeFill="accent2" w:themeFillTint="33"/>
          </w:tcPr>
          <w:p w:rsidR="002B5912" w:rsidRPr="00790985" w:rsidRDefault="002B5912" w:rsidP="00941E15">
            <w:pPr>
              <w:jc w:val="center"/>
            </w:pPr>
          </w:p>
        </w:tc>
        <w:tc>
          <w:tcPr>
            <w:tcW w:w="373" w:type="pct"/>
            <w:shd w:val="clear" w:color="auto" w:fill="F2DBDB" w:themeFill="accent2" w:themeFillTint="33"/>
          </w:tcPr>
          <w:p w:rsidR="002B5912" w:rsidRPr="00790985" w:rsidRDefault="002B5912" w:rsidP="00941E15">
            <w:pPr>
              <w:jc w:val="center"/>
            </w:pPr>
          </w:p>
        </w:tc>
        <w:tc>
          <w:tcPr>
            <w:tcW w:w="374" w:type="pct"/>
            <w:shd w:val="clear" w:color="auto" w:fill="F2DBDB" w:themeFill="accent2" w:themeFillTint="33"/>
          </w:tcPr>
          <w:p w:rsidR="002B5912" w:rsidRPr="00790985" w:rsidRDefault="002B5912" w:rsidP="00941E15">
            <w:pPr>
              <w:jc w:val="center"/>
            </w:pPr>
          </w:p>
        </w:tc>
        <w:tc>
          <w:tcPr>
            <w:tcW w:w="374" w:type="pct"/>
            <w:shd w:val="clear" w:color="auto" w:fill="F2DBDB" w:themeFill="accent2" w:themeFillTint="33"/>
          </w:tcPr>
          <w:p w:rsidR="002B5912" w:rsidRPr="00790985" w:rsidRDefault="002B5912" w:rsidP="00941E15">
            <w:pPr>
              <w:jc w:val="center"/>
            </w:pPr>
          </w:p>
        </w:tc>
      </w:tr>
      <w:tr w:rsidR="002B5912" w:rsidRPr="00051DF5" w:rsidTr="00FD0DC2">
        <w:tc>
          <w:tcPr>
            <w:tcW w:w="3131" w:type="pct"/>
            <w:shd w:val="clear" w:color="auto" w:fill="FFD5D5"/>
          </w:tcPr>
          <w:p w:rsidR="002B5912" w:rsidRDefault="00923B1E" w:rsidP="000049F7">
            <w:r w:rsidRPr="00923B1E">
              <w:t xml:space="preserve">Determine </w:t>
            </w:r>
            <w:r w:rsidR="001F3AD5">
              <w:t>transfusion/</w:t>
            </w:r>
            <w:r w:rsidRPr="00923B1E">
              <w:t>PBM data sets required</w:t>
            </w:r>
          </w:p>
        </w:tc>
        <w:tc>
          <w:tcPr>
            <w:tcW w:w="374" w:type="pct"/>
            <w:shd w:val="clear" w:color="auto" w:fill="92CDDC"/>
          </w:tcPr>
          <w:p w:rsidR="002B5912" w:rsidRPr="00790985" w:rsidRDefault="002B5912" w:rsidP="00941E15">
            <w:pPr>
              <w:jc w:val="center"/>
            </w:pPr>
          </w:p>
        </w:tc>
        <w:tc>
          <w:tcPr>
            <w:tcW w:w="374" w:type="pct"/>
            <w:shd w:val="clear" w:color="auto" w:fill="92CDDC" w:themeFill="accent5" w:themeFillTint="99"/>
          </w:tcPr>
          <w:p w:rsidR="002B5912" w:rsidRPr="00790985" w:rsidRDefault="002B5912" w:rsidP="00941E15">
            <w:pPr>
              <w:jc w:val="center"/>
            </w:pPr>
          </w:p>
        </w:tc>
        <w:tc>
          <w:tcPr>
            <w:tcW w:w="373" w:type="pct"/>
          </w:tcPr>
          <w:p w:rsidR="002B5912" w:rsidRPr="00790985" w:rsidRDefault="002B5912" w:rsidP="00941E15">
            <w:pPr>
              <w:jc w:val="center"/>
            </w:pPr>
          </w:p>
        </w:tc>
        <w:tc>
          <w:tcPr>
            <w:tcW w:w="374" w:type="pct"/>
          </w:tcPr>
          <w:p w:rsidR="002B5912" w:rsidRPr="00790985" w:rsidRDefault="002B5912" w:rsidP="00941E15">
            <w:pPr>
              <w:jc w:val="center"/>
            </w:pPr>
          </w:p>
        </w:tc>
        <w:tc>
          <w:tcPr>
            <w:tcW w:w="374" w:type="pct"/>
          </w:tcPr>
          <w:p w:rsidR="002B5912" w:rsidRPr="00790985" w:rsidRDefault="002B5912" w:rsidP="00941E15">
            <w:pPr>
              <w:jc w:val="center"/>
            </w:pPr>
          </w:p>
        </w:tc>
      </w:tr>
      <w:tr w:rsidR="002B5912" w:rsidRPr="00051DF5" w:rsidTr="00FD0DC2">
        <w:tc>
          <w:tcPr>
            <w:tcW w:w="3131" w:type="pct"/>
            <w:shd w:val="clear" w:color="auto" w:fill="FFD5D5"/>
          </w:tcPr>
          <w:p w:rsidR="002B5912" w:rsidRPr="00790985" w:rsidRDefault="00923B1E" w:rsidP="000049F7">
            <w:pPr>
              <w:spacing w:after="0" w:line="312" w:lineRule="auto"/>
            </w:pPr>
            <w:r>
              <w:t>Develop p</w:t>
            </w:r>
            <w:r w:rsidR="002B5912" w:rsidRPr="002B5912">
              <w:t>eer review reports</w:t>
            </w:r>
          </w:p>
        </w:tc>
        <w:tc>
          <w:tcPr>
            <w:tcW w:w="374" w:type="pct"/>
            <w:shd w:val="clear" w:color="auto" w:fill="92CDDC" w:themeFill="accent5" w:themeFillTint="99"/>
          </w:tcPr>
          <w:p w:rsidR="002B5912" w:rsidRPr="00BD69E4" w:rsidRDefault="002B5912" w:rsidP="00941E15">
            <w:pPr>
              <w:rPr>
                <w:rFonts w:asciiTheme="majorHAnsi" w:hAnsiTheme="majorHAnsi"/>
                <w:sz w:val="24"/>
                <w:szCs w:val="24"/>
              </w:rPr>
            </w:pPr>
          </w:p>
        </w:tc>
        <w:tc>
          <w:tcPr>
            <w:tcW w:w="374" w:type="pct"/>
            <w:shd w:val="clear" w:color="auto" w:fill="92CDDC" w:themeFill="accent5" w:themeFillTint="99"/>
          </w:tcPr>
          <w:p w:rsidR="002B5912" w:rsidRPr="00790985" w:rsidRDefault="002B5912" w:rsidP="00941E15">
            <w:pPr>
              <w:jc w:val="center"/>
            </w:pPr>
          </w:p>
        </w:tc>
        <w:tc>
          <w:tcPr>
            <w:tcW w:w="373" w:type="pct"/>
            <w:shd w:val="clear" w:color="auto" w:fill="92CDDC" w:themeFill="accent5" w:themeFillTint="99"/>
          </w:tcPr>
          <w:p w:rsidR="002B5912" w:rsidRPr="00790985" w:rsidRDefault="002B5912" w:rsidP="00941E15">
            <w:pPr>
              <w:jc w:val="center"/>
            </w:pPr>
          </w:p>
        </w:tc>
        <w:tc>
          <w:tcPr>
            <w:tcW w:w="374" w:type="pct"/>
          </w:tcPr>
          <w:p w:rsidR="002B5912" w:rsidRPr="00790985" w:rsidRDefault="002B5912" w:rsidP="00941E15">
            <w:pPr>
              <w:jc w:val="center"/>
            </w:pPr>
          </w:p>
        </w:tc>
        <w:tc>
          <w:tcPr>
            <w:tcW w:w="374" w:type="pct"/>
          </w:tcPr>
          <w:p w:rsidR="002B5912" w:rsidRPr="00790985" w:rsidRDefault="002B5912" w:rsidP="00941E15">
            <w:pPr>
              <w:jc w:val="center"/>
            </w:pPr>
          </w:p>
        </w:tc>
      </w:tr>
      <w:tr w:rsidR="002B5912" w:rsidRPr="00051DF5" w:rsidTr="00FD0DC2">
        <w:tc>
          <w:tcPr>
            <w:tcW w:w="3131" w:type="pct"/>
            <w:shd w:val="clear" w:color="auto" w:fill="FFD5D5"/>
          </w:tcPr>
          <w:p w:rsidR="002B5912" w:rsidRDefault="00923B1E" w:rsidP="000049F7">
            <w:pPr>
              <w:rPr>
                <w:sz w:val="21"/>
                <w:szCs w:val="21"/>
              </w:rPr>
            </w:pPr>
            <w:r>
              <w:t>Determine d</w:t>
            </w:r>
            <w:r w:rsidR="002B5912">
              <w:t>ata access rules specific to report audiences</w:t>
            </w:r>
          </w:p>
        </w:tc>
        <w:tc>
          <w:tcPr>
            <w:tcW w:w="374" w:type="pct"/>
            <w:shd w:val="clear" w:color="auto" w:fill="92CDDC" w:themeFill="accent5" w:themeFillTint="99"/>
          </w:tcPr>
          <w:p w:rsidR="002B5912" w:rsidRPr="00BD69E4" w:rsidRDefault="002B5912" w:rsidP="00941E15">
            <w:pPr>
              <w:rPr>
                <w:rFonts w:asciiTheme="majorHAnsi" w:hAnsiTheme="majorHAnsi"/>
                <w:sz w:val="24"/>
                <w:szCs w:val="24"/>
              </w:rPr>
            </w:pPr>
          </w:p>
        </w:tc>
        <w:tc>
          <w:tcPr>
            <w:tcW w:w="374" w:type="pct"/>
            <w:shd w:val="clear" w:color="auto" w:fill="92CDDC" w:themeFill="accent5" w:themeFillTint="99"/>
          </w:tcPr>
          <w:p w:rsidR="002B5912" w:rsidRPr="00790985" w:rsidRDefault="002B5912" w:rsidP="00941E15">
            <w:pPr>
              <w:jc w:val="center"/>
            </w:pPr>
          </w:p>
        </w:tc>
        <w:tc>
          <w:tcPr>
            <w:tcW w:w="373" w:type="pct"/>
            <w:shd w:val="clear" w:color="auto" w:fill="92CDDC" w:themeFill="accent5" w:themeFillTint="99"/>
          </w:tcPr>
          <w:p w:rsidR="002B5912" w:rsidRPr="00790985" w:rsidRDefault="002B5912" w:rsidP="00941E15">
            <w:pPr>
              <w:jc w:val="center"/>
            </w:pPr>
          </w:p>
        </w:tc>
        <w:tc>
          <w:tcPr>
            <w:tcW w:w="374" w:type="pct"/>
          </w:tcPr>
          <w:p w:rsidR="002B5912" w:rsidRPr="00790985" w:rsidRDefault="002B5912" w:rsidP="00941E15">
            <w:pPr>
              <w:jc w:val="center"/>
            </w:pPr>
          </w:p>
        </w:tc>
        <w:tc>
          <w:tcPr>
            <w:tcW w:w="374" w:type="pct"/>
          </w:tcPr>
          <w:p w:rsidR="002B5912" w:rsidRPr="00790985" w:rsidRDefault="002B5912" w:rsidP="00941E15">
            <w:pPr>
              <w:jc w:val="center"/>
            </w:pPr>
          </w:p>
        </w:tc>
      </w:tr>
      <w:tr w:rsidR="00923B1E" w:rsidRPr="00051DF5" w:rsidTr="00FD0DC2">
        <w:tc>
          <w:tcPr>
            <w:tcW w:w="3131" w:type="pct"/>
            <w:shd w:val="clear" w:color="auto" w:fill="FFD5D5"/>
          </w:tcPr>
          <w:p w:rsidR="00923B1E" w:rsidRDefault="00923B1E" w:rsidP="000049F7">
            <w:r>
              <w:t>Develop electronic audit tools (see above)</w:t>
            </w:r>
          </w:p>
        </w:tc>
        <w:tc>
          <w:tcPr>
            <w:tcW w:w="374" w:type="pct"/>
            <w:shd w:val="clear" w:color="auto" w:fill="92CDDC" w:themeFill="accent5" w:themeFillTint="99"/>
          </w:tcPr>
          <w:p w:rsidR="00923B1E" w:rsidRPr="00BD69E4" w:rsidRDefault="00923B1E" w:rsidP="00941E15">
            <w:pPr>
              <w:rPr>
                <w:rFonts w:asciiTheme="majorHAnsi" w:hAnsiTheme="majorHAnsi"/>
                <w:sz w:val="24"/>
                <w:szCs w:val="24"/>
              </w:rPr>
            </w:pPr>
          </w:p>
        </w:tc>
        <w:tc>
          <w:tcPr>
            <w:tcW w:w="374" w:type="pct"/>
            <w:shd w:val="clear" w:color="auto" w:fill="92CDDC" w:themeFill="accent5" w:themeFillTint="99"/>
          </w:tcPr>
          <w:p w:rsidR="00923B1E" w:rsidRPr="00790985" w:rsidRDefault="00923B1E" w:rsidP="00941E15">
            <w:pPr>
              <w:jc w:val="center"/>
            </w:pPr>
          </w:p>
        </w:tc>
        <w:tc>
          <w:tcPr>
            <w:tcW w:w="373" w:type="pct"/>
            <w:shd w:val="clear" w:color="auto" w:fill="92CDDC" w:themeFill="accent5" w:themeFillTint="99"/>
          </w:tcPr>
          <w:p w:rsidR="00923B1E" w:rsidRPr="00790985" w:rsidRDefault="00923B1E" w:rsidP="00941E15">
            <w:pPr>
              <w:jc w:val="center"/>
            </w:pPr>
          </w:p>
        </w:tc>
        <w:tc>
          <w:tcPr>
            <w:tcW w:w="374" w:type="pct"/>
          </w:tcPr>
          <w:p w:rsidR="00923B1E" w:rsidRPr="00790985" w:rsidRDefault="00923B1E" w:rsidP="00941E15">
            <w:pPr>
              <w:jc w:val="center"/>
            </w:pPr>
          </w:p>
        </w:tc>
        <w:tc>
          <w:tcPr>
            <w:tcW w:w="374" w:type="pct"/>
          </w:tcPr>
          <w:p w:rsidR="00923B1E" w:rsidRPr="00790985" w:rsidRDefault="00923B1E" w:rsidP="00941E15">
            <w:pPr>
              <w:jc w:val="center"/>
            </w:pPr>
          </w:p>
        </w:tc>
      </w:tr>
    </w:tbl>
    <w:p w:rsidR="009756D6" w:rsidRDefault="009756D6" w:rsidP="009756D6"/>
    <w:p w:rsidR="00787985" w:rsidRPr="009B6EC2" w:rsidRDefault="00787985" w:rsidP="009B6EC2">
      <w:pPr>
        <w:spacing w:after="0"/>
        <w:rPr>
          <w:rFonts w:ascii="Arial" w:hAnsi="Arial" w:cs="Arial"/>
          <w:b/>
          <w:sz w:val="24"/>
          <w:szCs w:val="24"/>
        </w:rPr>
        <w:sectPr w:rsidR="00787985" w:rsidRPr="009B6EC2" w:rsidSect="000D6665">
          <w:footerReference w:type="default" r:id="rId12"/>
          <w:footnotePr>
            <w:numFmt w:val="lowerLetter"/>
          </w:footnotePr>
          <w:pgSz w:w="11907" w:h="16839" w:code="9"/>
          <w:pgMar w:top="1276" w:right="1608" w:bottom="1080" w:left="1080" w:header="720" w:footer="720" w:gutter="0"/>
          <w:pgNumType w:start="0"/>
          <w:cols w:space="720"/>
          <w:docGrid w:linePitch="360"/>
        </w:sectPr>
      </w:pPr>
      <w:bookmarkStart w:id="2" w:name="_GoBack"/>
      <w:bookmarkEnd w:id="2"/>
    </w:p>
    <w:p w:rsidR="00D626DF" w:rsidRPr="00D626DF" w:rsidRDefault="00D626DF">
      <w:pPr>
        <w:pStyle w:val="NormalWeb"/>
        <w:ind w:left="640" w:hanging="640"/>
        <w:divId w:val="2145347515"/>
        <w:rPr>
          <w:rFonts w:ascii="Calibri" w:eastAsiaTheme="minorEastAsia" w:hAnsi="Calibri" w:cs="Calibri"/>
          <w:noProof/>
          <w:sz w:val="22"/>
        </w:rPr>
      </w:pPr>
      <w:r>
        <w:lastRenderedPageBreak/>
        <w:fldChar w:fldCharType="begin" w:fldLock="1"/>
      </w:r>
      <w:r>
        <w:instrText xml:space="preserve">ADDIN Mendeley Bibliography CSL_BIBLIOGRAPHY </w:instrText>
      </w:r>
      <w:r>
        <w:fldChar w:fldCharType="separate"/>
      </w:r>
      <w:r w:rsidRPr="00D626DF">
        <w:rPr>
          <w:rFonts w:ascii="Calibri" w:hAnsi="Calibri" w:cs="Calibri"/>
          <w:noProof/>
          <w:sz w:val="22"/>
        </w:rPr>
        <w:t xml:space="preserve">1. </w:t>
      </w:r>
      <w:r w:rsidRPr="00D626DF">
        <w:rPr>
          <w:rFonts w:ascii="Calibri" w:hAnsi="Calibri" w:cs="Calibri"/>
          <w:noProof/>
          <w:sz w:val="22"/>
        </w:rPr>
        <w:tab/>
        <w:t>Brevig J, McDonald J, Zelinka ES, Gallagher T, Jin R, Grunkemeier GL. Blood transfusion reduction in cardiac surgery: multidisciplinary approach at a community hospital. The Annals of thoracic surgery [Internet]. 2009 Feb;87(2):532–9. Available from: http://www.ncbi.nlm.nih.gov/pubmed/19161774</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2. </w:t>
      </w:r>
      <w:r w:rsidRPr="00D626DF">
        <w:rPr>
          <w:rFonts w:ascii="Calibri" w:hAnsi="Calibri" w:cs="Calibri"/>
          <w:noProof/>
          <w:sz w:val="22"/>
        </w:rPr>
        <w:tab/>
        <w:t>Freedman J, Luke K, Escobar M, Vernich L, Chiavetta JA. Experience of a network of transfusion coordinators for blood conservation (Ontario Transfusion Coordinators [ONTraC]). Transfusion [Internet]. 2008 Feb;48(2):237–50. Available from: http://www.ncbi.nlm.nih.gov/pubmed/18005329</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3. </w:t>
      </w:r>
      <w:r w:rsidRPr="00D626DF">
        <w:rPr>
          <w:rFonts w:ascii="Calibri" w:hAnsi="Calibri" w:cs="Calibri"/>
          <w:noProof/>
          <w:sz w:val="22"/>
        </w:rPr>
        <w:tab/>
        <w:t>DeAnda A, Baker KM, Roseff SD, Green JA, McCarthy H, Aron T, et al. Developing a blood conservation program in cardiac surgery. American journal of medical quality : the official journal of the American College of Medical Quality [Internet]. 21(4):230–7. Available from: http://www.ncbi.nlm.nih.gov/pubmed/16849779</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4. </w:t>
      </w:r>
      <w:r w:rsidRPr="00D626DF">
        <w:rPr>
          <w:rFonts w:ascii="Calibri" w:hAnsi="Calibri" w:cs="Calibri"/>
          <w:noProof/>
          <w:sz w:val="22"/>
        </w:rPr>
        <w:tab/>
        <w:t xml:space="preserve">National Blood Authority. National Blood Authority Annual Report 2011-2012. Canberra, Australia; 2012. </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5. </w:t>
      </w:r>
      <w:r w:rsidRPr="00D626DF">
        <w:rPr>
          <w:rFonts w:ascii="Calibri" w:hAnsi="Calibri" w:cs="Calibri"/>
          <w:noProof/>
          <w:sz w:val="22"/>
        </w:rPr>
        <w:tab/>
        <w:t>Pasricha S-RS, Flecknoe-Brown SC, Allen KJ, Gibson PR, McMahon LP, Olynyk JK, et al. Diagnosis and management of iron deficiency anaemia: a clinical update. The Medical journal of Australia [Internet]. 2010 Nov;193(9):525–32. Available from: http://www.ncbi.nlm.nih.gov/pubmed/21034387</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6. </w:t>
      </w:r>
      <w:r w:rsidRPr="00D626DF">
        <w:rPr>
          <w:rFonts w:ascii="Calibri" w:hAnsi="Calibri" w:cs="Calibri"/>
          <w:noProof/>
          <w:sz w:val="22"/>
        </w:rPr>
        <w:tab/>
        <w:t xml:space="preserve">Australian Institute of Health and Welfare. Australian Hospital Statistics 2008-09. Health Service Series Number 34. 2010;34(34). </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7. </w:t>
      </w:r>
      <w:r w:rsidRPr="00D626DF">
        <w:rPr>
          <w:rFonts w:ascii="Calibri" w:hAnsi="Calibri" w:cs="Calibri"/>
          <w:noProof/>
          <w:sz w:val="22"/>
        </w:rPr>
        <w:tab/>
        <w:t xml:space="preserve">National Health and Medical Research Council (NHMRC). NHMRC standards and procedures for externally developed guidelines. NHMRC. 2007; </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8. </w:t>
      </w:r>
      <w:r w:rsidRPr="00D626DF">
        <w:rPr>
          <w:rFonts w:ascii="Calibri" w:hAnsi="Calibri" w:cs="Calibri"/>
          <w:noProof/>
          <w:sz w:val="22"/>
        </w:rPr>
        <w:tab/>
        <w:t xml:space="preserve">National Health and Medical Research Council (NHMRC). Procedures and requirements for meeting the 2011 NHMRC Standard for clinical practice guidelines. NHMRC. 2011; </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9. </w:t>
      </w:r>
      <w:r w:rsidRPr="00D626DF">
        <w:rPr>
          <w:rFonts w:ascii="Calibri" w:hAnsi="Calibri" w:cs="Calibri"/>
          <w:noProof/>
          <w:sz w:val="22"/>
        </w:rPr>
        <w:tab/>
        <w:t>Cluzeau FA, Littlejohns P, Grimshaw JM, Feder G, Moran SE. Development and application of a generic methodology to assess the quality of clinical guidelines. International journal for quality in health care : journal of the International Society for Quality in Health Care / ISQua [Internet]. 1999 Feb;11(1):21–8. Available from: http://www.ncbi.nlm.nih.gov/pubmed/10411286</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10. </w:t>
      </w:r>
      <w:r w:rsidRPr="00D626DF">
        <w:rPr>
          <w:rFonts w:ascii="Calibri" w:hAnsi="Calibri" w:cs="Calibri"/>
          <w:noProof/>
          <w:sz w:val="22"/>
        </w:rPr>
        <w:tab/>
        <w:t>Doherty S. Evidence-based implementation of evidence-based guidelines. International journal of health care quality assurance incorporating Leadership in health services [Internet]. 2006 Jan;19(1):32–41. Available from: http://www.ncbi.nlm.nih.gov/pubmed/16548397</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11. </w:t>
      </w:r>
      <w:r w:rsidRPr="00D626DF">
        <w:rPr>
          <w:rFonts w:ascii="Calibri" w:hAnsi="Calibri" w:cs="Calibri"/>
          <w:noProof/>
          <w:sz w:val="22"/>
        </w:rPr>
        <w:tab/>
        <w:t>Grimshaw JM, Thomson MA. What have new efforts to change professional practice achieved? Cochrane Effective Practice and Organization of Care Group. Journal of the Royal Society of Medicine [Internet]. 1998 Jan;91 Suppl 3:20–5. Available from: http://www.pubmedcentral.nih.gov/articlerender.fcgi?artid=1296360&amp;tool=pmcentrez&amp;rendertype=abstract</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12. </w:t>
      </w:r>
      <w:r w:rsidRPr="00D626DF">
        <w:rPr>
          <w:rFonts w:ascii="Calibri" w:hAnsi="Calibri" w:cs="Calibri"/>
          <w:noProof/>
          <w:sz w:val="22"/>
        </w:rPr>
        <w:tab/>
        <w:t>Grimshaw JM, Shirran L, Thomas R, Mowatt G, Fraser C, Bero L, et al. Changing provider behavior: an overview of systematic reviews of interventions. Medical care [Internet]. 2001 Aug;39(8 Suppl 2):II2–45. Available from: http://www.ncbi.nlm.nih.gov/pubmed/11583120</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lastRenderedPageBreak/>
        <w:t xml:space="preserve">13. </w:t>
      </w:r>
      <w:r w:rsidRPr="00D626DF">
        <w:rPr>
          <w:rFonts w:ascii="Calibri" w:hAnsi="Calibri" w:cs="Calibri"/>
          <w:noProof/>
          <w:sz w:val="22"/>
        </w:rPr>
        <w:tab/>
        <w:t>Kinsman L, James E, Ham J. An interdisciplinary, evidence-based process of clinical pathway implementation increases pathway usage. Lippincott’s case management : managing the process of patient care [Internet]. 9(4):184–96. Available from: http://www.ncbi.nlm.nih.gov/pubmed/15273604</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14. </w:t>
      </w:r>
      <w:r w:rsidRPr="00D626DF">
        <w:rPr>
          <w:rFonts w:ascii="Calibri" w:hAnsi="Calibri" w:cs="Calibri"/>
          <w:noProof/>
          <w:sz w:val="22"/>
        </w:rPr>
        <w:tab/>
        <w:t>Stone EG, Morton SC, Hulscher ME, Maglione MA, Roth EA, Grimshaw JM, et al. Interventions that increase use of adult immunization and cancer screening services: a meta-analysis. Annals of internal medicine [Internet]. 2002 May;136(9):641–51. Available from: http://www.ncbi.nlm.nih.gov/pubmed/11992299</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15. </w:t>
      </w:r>
      <w:r w:rsidRPr="00D626DF">
        <w:rPr>
          <w:rFonts w:ascii="Calibri" w:hAnsi="Calibri" w:cs="Calibri"/>
          <w:noProof/>
          <w:sz w:val="22"/>
        </w:rPr>
        <w:tab/>
        <w:t>Choong PF, Langford AK, Dowsey MM, Santamaria NM. Clinical pathway for fractured neck of femur: a prospective, controlled study. The Medical journal of Australia [Internet]. 2000 May;172(9):423–6. Available from: http://www.ncbi.nlm.nih.gov/pubmed/10870534</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16. </w:t>
      </w:r>
      <w:r w:rsidRPr="00D626DF">
        <w:rPr>
          <w:rFonts w:ascii="Calibri" w:hAnsi="Calibri" w:cs="Calibri"/>
          <w:noProof/>
          <w:sz w:val="22"/>
        </w:rPr>
        <w:tab/>
        <w:t>Jamtvedt G, Young JM, Kristoffersen DT, O’Brien MA, Oxman AD. Audit and feedback: effects on professional practice and health care outcomes. The Cochrane database of systematic reviews [Internet]. 2006 Jan;(2):CD000259. Available from: http://www.ncbi.nlm.nih.gov/pubmed/16625533</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17. </w:t>
      </w:r>
      <w:r w:rsidRPr="00D626DF">
        <w:rPr>
          <w:rFonts w:ascii="Calibri" w:hAnsi="Calibri" w:cs="Calibri"/>
          <w:noProof/>
          <w:sz w:val="22"/>
        </w:rPr>
        <w:tab/>
        <w:t>Australian Commission on Safety and Quality in Health Care. Australian Commission on Safety and Quality in Health Care [Internet]. [cited 2013 Jan 18]. Available from: http://www.safetyandquality.gov.au/</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18. </w:t>
      </w:r>
      <w:r w:rsidRPr="00D626DF">
        <w:rPr>
          <w:rFonts w:ascii="Calibri" w:hAnsi="Calibri" w:cs="Calibri"/>
          <w:noProof/>
          <w:sz w:val="22"/>
        </w:rPr>
        <w:tab/>
        <w:t>BloodSafe. BloodSafe E-learning [Internet]. [cited 2013 Jan 18]. Available from: https://www.bloodsafelearning.org.au/</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19. </w:t>
      </w:r>
      <w:r w:rsidRPr="00D626DF">
        <w:rPr>
          <w:rFonts w:ascii="Calibri" w:hAnsi="Calibri" w:cs="Calibri"/>
          <w:noProof/>
          <w:sz w:val="22"/>
        </w:rPr>
        <w:tab/>
        <w:t>Victoria Health. Victoria Health [Internet]. [cited 2013 Jan 18]. Available from: http://www.health.vic.gov.au/best/tools/cert.htm</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20. </w:t>
      </w:r>
      <w:r w:rsidRPr="00D626DF">
        <w:rPr>
          <w:rFonts w:ascii="Calibri" w:hAnsi="Calibri" w:cs="Calibri"/>
          <w:noProof/>
          <w:sz w:val="22"/>
        </w:rPr>
        <w:tab/>
        <w:t xml:space="preserve">Clinical Excellence Commission. Understanding and Influencing Blood Prescription. Australia; 2007. </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21. </w:t>
      </w:r>
      <w:r w:rsidRPr="00D626DF">
        <w:rPr>
          <w:rFonts w:ascii="Calibri" w:hAnsi="Calibri" w:cs="Calibri"/>
          <w:noProof/>
          <w:sz w:val="22"/>
        </w:rPr>
        <w:tab/>
        <w:t>National Blood Authority. National Blood Authority Stewardship Statement [Internet]. Available from: http://www.blood.gov.au/policy/stewardship-statement.html</w:t>
      </w:r>
    </w:p>
    <w:p w:rsidR="00D626DF" w:rsidRPr="00D626DF" w:rsidRDefault="00D626DF">
      <w:pPr>
        <w:pStyle w:val="NormalWeb"/>
        <w:ind w:left="640" w:hanging="640"/>
        <w:divId w:val="2145347515"/>
        <w:rPr>
          <w:rFonts w:ascii="Calibri" w:hAnsi="Calibri" w:cs="Calibri"/>
          <w:noProof/>
          <w:sz w:val="22"/>
        </w:rPr>
      </w:pPr>
      <w:r w:rsidRPr="00D626DF">
        <w:rPr>
          <w:rFonts w:ascii="Calibri" w:hAnsi="Calibri" w:cs="Calibri"/>
          <w:noProof/>
          <w:sz w:val="22"/>
        </w:rPr>
        <w:t xml:space="preserve">22. </w:t>
      </w:r>
      <w:r w:rsidRPr="00D626DF">
        <w:rPr>
          <w:rFonts w:ascii="Calibri" w:hAnsi="Calibri" w:cs="Calibri"/>
          <w:noProof/>
          <w:sz w:val="22"/>
        </w:rPr>
        <w:tab/>
        <w:t xml:space="preserve">National Blood Authority. National Blood Authority Guidelines Review [Internet]. Available from: http://www.blood.gov.au/guidelines/review.html </w:t>
      </w:r>
    </w:p>
    <w:p w:rsidR="0076194F" w:rsidRPr="00C720AA" w:rsidRDefault="00D626DF" w:rsidP="00125E41">
      <w:r>
        <w:fldChar w:fldCharType="end"/>
      </w:r>
    </w:p>
    <w:sectPr w:rsidR="0076194F" w:rsidRPr="00C720AA" w:rsidSect="000D6665">
      <w:footerReference w:type="default" r:id="rId13"/>
      <w:headerReference w:type="first" r:id="rId14"/>
      <w:footerReference w:type="first" r:id="rId15"/>
      <w:pgSz w:w="11907" w:h="16839" w:code="9"/>
      <w:pgMar w:top="1276" w:right="1608" w:bottom="1080" w:left="108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4BC" w:rsidRDefault="002064BC" w:rsidP="009960EE">
      <w:r>
        <w:separator/>
      </w:r>
    </w:p>
  </w:endnote>
  <w:endnote w:type="continuationSeparator" w:id="0">
    <w:p w:rsidR="002064BC" w:rsidRDefault="002064BC" w:rsidP="0099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41" w:rsidRDefault="00624F41" w:rsidP="009960EE">
    <w:pPr>
      <w:pStyle w:val="Footer"/>
    </w:pPr>
    <w:r>
      <w:rPr>
        <w:noProof/>
        <w:lang w:eastAsia="en-AU"/>
      </w:rPr>
      <mc:AlternateContent>
        <mc:Choice Requires="wps">
          <w:drawing>
            <wp:anchor distT="0" distB="0" distL="114300" distR="114300" simplePos="0" relativeHeight="251657728" behindDoc="0" locked="1" layoutInCell="1" allowOverlap="1" wp14:anchorId="0767AB7D" wp14:editId="2F2A83C6">
              <wp:simplePos x="0" y="0"/>
              <wp:positionH relativeFrom="rightMargin">
                <wp:posOffset>331470</wp:posOffset>
              </wp:positionH>
              <wp:positionV relativeFrom="bottomMargin">
                <wp:posOffset>0</wp:posOffset>
              </wp:positionV>
              <wp:extent cx="518400" cy="396000"/>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400" cy="39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F41" w:rsidRPr="001F5B7D" w:rsidRDefault="00624F41" w:rsidP="009960EE">
                          <w:pPr>
                            <w:pStyle w:val="Subtitle"/>
                            <w:rPr>
                              <w:color w:val="005374"/>
                              <w:sz w:val="24"/>
                              <w:szCs w:val="24"/>
                            </w:rPr>
                          </w:pPr>
                          <w:r w:rsidRPr="001F5B7D">
                            <w:rPr>
                              <w:color w:val="005374"/>
                              <w:sz w:val="24"/>
                              <w:szCs w:val="24"/>
                            </w:rPr>
                            <w:fldChar w:fldCharType="begin"/>
                          </w:r>
                          <w:r w:rsidRPr="001F5B7D">
                            <w:rPr>
                              <w:color w:val="005374"/>
                              <w:sz w:val="24"/>
                              <w:szCs w:val="24"/>
                            </w:rPr>
                            <w:instrText xml:space="preserve"> PAGE  \* Arabic  \* MERGEFORMAT </w:instrText>
                          </w:r>
                          <w:r w:rsidRPr="001F5B7D">
                            <w:rPr>
                              <w:color w:val="005374"/>
                              <w:sz w:val="24"/>
                              <w:szCs w:val="24"/>
                            </w:rPr>
                            <w:fldChar w:fldCharType="separate"/>
                          </w:r>
                          <w:r w:rsidR="00C662F6">
                            <w:rPr>
                              <w:noProof/>
                              <w:color w:val="005374"/>
                              <w:sz w:val="24"/>
                              <w:szCs w:val="24"/>
                            </w:rPr>
                            <w:t>9</w:t>
                          </w:r>
                          <w:r w:rsidRPr="001F5B7D">
                            <w:rPr>
                              <w:color w:val="005374"/>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1pt;margin-top:0;width:40.8pt;height:31.2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GswIAALg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" filled="f" stroked="f">
              <v:textbox>
                <w:txbxContent>
                  <w:p w:rsidR="00624F41" w:rsidRPr="001F5B7D" w:rsidRDefault="00624F41" w:rsidP="009960EE">
                    <w:pPr>
                      <w:pStyle w:val="Subtitle"/>
                      <w:rPr>
                        <w:color w:val="005374"/>
                        <w:sz w:val="24"/>
                        <w:szCs w:val="24"/>
                      </w:rPr>
                    </w:pPr>
                    <w:r w:rsidRPr="001F5B7D">
                      <w:rPr>
                        <w:color w:val="005374"/>
                        <w:sz w:val="24"/>
                        <w:szCs w:val="24"/>
                      </w:rPr>
                      <w:fldChar w:fldCharType="begin"/>
                    </w:r>
                    <w:r w:rsidRPr="001F5B7D">
                      <w:rPr>
                        <w:color w:val="005374"/>
                        <w:sz w:val="24"/>
                        <w:szCs w:val="24"/>
                      </w:rPr>
                      <w:instrText xml:space="preserve"> PAGE  \* Arabic  \* MERGEFORMAT </w:instrText>
                    </w:r>
                    <w:r w:rsidRPr="001F5B7D">
                      <w:rPr>
                        <w:color w:val="005374"/>
                        <w:sz w:val="24"/>
                        <w:szCs w:val="24"/>
                      </w:rPr>
                      <w:fldChar w:fldCharType="separate"/>
                    </w:r>
                    <w:r w:rsidR="00C662F6">
                      <w:rPr>
                        <w:noProof/>
                        <w:color w:val="005374"/>
                        <w:sz w:val="24"/>
                        <w:szCs w:val="24"/>
                      </w:rPr>
                      <w:t>9</w:t>
                    </w:r>
                    <w:r w:rsidRPr="001F5B7D">
                      <w:rPr>
                        <w:color w:val="005374"/>
                        <w:sz w:val="24"/>
                        <w:szCs w:val="24"/>
                      </w:rPr>
                      <w:fldChar w:fldCharType="end"/>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56704" behindDoc="0" locked="1" layoutInCell="1" allowOverlap="1" wp14:anchorId="0D0E0099" wp14:editId="6D39B3DD">
              <wp:simplePos x="0" y="0"/>
              <wp:positionH relativeFrom="rightMargin">
                <wp:posOffset>215900</wp:posOffset>
              </wp:positionH>
              <wp:positionV relativeFrom="bottomMargin">
                <wp:posOffset>-1980565</wp:posOffset>
              </wp:positionV>
              <wp:extent cx="129600" cy="2520000"/>
              <wp:effectExtent l="19050" t="19050" r="22860" b="139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 cy="2520000"/>
                      </a:xfrm>
                      <a:prstGeom prst="rect">
                        <a:avLst/>
                      </a:prstGeom>
                      <a:solidFill>
                        <a:srgbClr val="005374"/>
                      </a:solidFill>
                      <a:ln w="31750">
                        <a:solidFill>
                          <a:srgbClr val="00537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155.95pt;width:10.2pt;height:198.45pt;z-index:2516567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" fillcolor="#005374" strokecolor="#005374" strokeweight="2.5pt">
              <v:shadow color="#868686"/>
              <w10:wrap anchorx="margin" anchory="margin"/>
              <w10:anchorlock/>
            </v:rect>
          </w:pict>
        </mc:Fallback>
      </mc:AlternateContent>
    </w:r>
    <w:r>
      <w:rPr>
        <w:noProof/>
        <w:lang w:eastAsia="en-AU"/>
      </w:rPr>
      <w:drawing>
        <wp:inline distT="0" distB="0" distL="0" distR="0" wp14:anchorId="59B60DA9" wp14:editId="3836E749">
          <wp:extent cx="14668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41" w:rsidRDefault="00125E41" w:rsidP="009960EE">
    <w:pPr>
      <w:pStyle w:val="Footer"/>
    </w:pPr>
    <w:r>
      <w:rPr>
        <w:noProof/>
        <w:lang w:eastAsia="en-AU"/>
      </w:rPr>
      <w:drawing>
        <wp:inline distT="0" distB="0" distL="0" distR="0" wp14:anchorId="5E76466E" wp14:editId="7A78BFD3">
          <wp:extent cx="146685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419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41" w:rsidRDefault="00624F41" w:rsidP="009D3703">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4BC" w:rsidRDefault="002064BC" w:rsidP="009960EE">
      <w:r>
        <w:separator/>
      </w:r>
    </w:p>
  </w:footnote>
  <w:footnote w:type="continuationSeparator" w:id="0">
    <w:p w:rsidR="002064BC" w:rsidRDefault="002064BC" w:rsidP="009960EE">
      <w:r>
        <w:continuationSeparator/>
      </w:r>
    </w:p>
  </w:footnote>
  <w:footnote w:id="1">
    <w:p w:rsidR="00D626DF" w:rsidRDefault="00D626DF">
      <w:pPr>
        <w:pStyle w:val="FootnoteText"/>
      </w:pPr>
      <w:r>
        <w:rPr>
          <w:rStyle w:val="FootnoteReference"/>
        </w:rPr>
        <w:footnoteRef/>
      </w:r>
      <w:r>
        <w:t xml:space="preserve"> </w:t>
      </w:r>
      <w:r w:rsidRPr="00FD0DC2">
        <w:rPr>
          <w:sz w:val="16"/>
          <w:szCs w:val="16"/>
        </w:rPr>
        <w:t xml:space="preserve">Education’ is defined as an educational offering that provides an academic transcript from a recognised Australian university OR is </w:t>
      </w:r>
      <w:r w:rsidRPr="00D626DF">
        <w:rPr>
          <w:i/>
          <w:sz w:val="16"/>
          <w:szCs w:val="16"/>
        </w:rPr>
        <w:t>recognised by the clinical college or society by awarding clinical or professional development points. Training is defined as learning</w:t>
      </w:r>
      <w:r w:rsidRPr="00FD0DC2">
        <w:rPr>
          <w:sz w:val="16"/>
          <w:szCs w:val="16"/>
        </w:rPr>
        <w:t xml:space="preserve"> opportunities offered in the workplace (typically a hospital), that provide technical information relevant to that workplace.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41" w:rsidRDefault="0062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F40"/>
    <w:multiLevelType w:val="hybridMultilevel"/>
    <w:tmpl w:val="80407B3A"/>
    <w:lvl w:ilvl="0" w:tplc="334440CA">
      <w:start w:val="1"/>
      <w:numFmt w:val="bullet"/>
      <w:lvlText w:val=""/>
      <w:lvlJc w:val="left"/>
      <w:pPr>
        <w:ind w:left="360" w:hanging="360"/>
      </w:pPr>
      <w:rPr>
        <w:rFonts w:ascii="Wingdings" w:hAnsi="Wingdings" w:hint="default"/>
        <w:color w:val="365F91" w:themeColor="accent1"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760C7B"/>
    <w:multiLevelType w:val="hybridMultilevel"/>
    <w:tmpl w:val="235A8064"/>
    <w:lvl w:ilvl="0" w:tplc="8A50B696">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29115A9"/>
    <w:multiLevelType w:val="hybridMultilevel"/>
    <w:tmpl w:val="7436D408"/>
    <w:lvl w:ilvl="0" w:tplc="334440CA">
      <w:start w:val="1"/>
      <w:numFmt w:val="bullet"/>
      <w:lvlText w:val=""/>
      <w:lvlJc w:val="left"/>
      <w:pPr>
        <w:ind w:left="360" w:hanging="360"/>
      </w:pPr>
      <w:rPr>
        <w:rFonts w:ascii="Wingdings" w:hAnsi="Wingdings" w:hint="default"/>
        <w:color w:val="365F91" w:themeColor="accent1" w:themeShade="BF"/>
      </w:rPr>
    </w:lvl>
    <w:lvl w:ilvl="1" w:tplc="BC3A7158">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EF62EE"/>
    <w:multiLevelType w:val="hybridMultilevel"/>
    <w:tmpl w:val="69AA0F46"/>
    <w:lvl w:ilvl="0" w:tplc="02EEBC68">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5F1304C"/>
    <w:multiLevelType w:val="hybridMultilevel"/>
    <w:tmpl w:val="24B23D8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nsid w:val="074A5BF0"/>
    <w:multiLevelType w:val="hybridMultilevel"/>
    <w:tmpl w:val="A7FE2954"/>
    <w:lvl w:ilvl="0" w:tplc="334440CA">
      <w:start w:val="1"/>
      <w:numFmt w:val="bullet"/>
      <w:lvlText w:val=""/>
      <w:lvlJc w:val="left"/>
      <w:pPr>
        <w:ind w:left="360" w:hanging="360"/>
      </w:pPr>
      <w:rPr>
        <w:rFonts w:ascii="Wingdings" w:hAnsi="Wingdings" w:hint="default"/>
        <w:color w:val="365F91" w:themeColor="accent1" w:themeShade="BF"/>
      </w:rPr>
    </w:lvl>
    <w:lvl w:ilvl="1" w:tplc="C426918A">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367F4C"/>
    <w:multiLevelType w:val="hybridMultilevel"/>
    <w:tmpl w:val="CD76A0CC"/>
    <w:lvl w:ilvl="0" w:tplc="563C8D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B61F54"/>
    <w:multiLevelType w:val="hybridMultilevel"/>
    <w:tmpl w:val="21FABF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6CE01BD"/>
    <w:multiLevelType w:val="hybridMultilevel"/>
    <w:tmpl w:val="922C2D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7BD594F"/>
    <w:multiLevelType w:val="hybridMultilevel"/>
    <w:tmpl w:val="D3C6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93266E"/>
    <w:multiLevelType w:val="hybridMultilevel"/>
    <w:tmpl w:val="BA1E8782"/>
    <w:lvl w:ilvl="0" w:tplc="335E1B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BB2AF1"/>
    <w:multiLevelType w:val="hybridMultilevel"/>
    <w:tmpl w:val="1D3E5C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4B3250"/>
    <w:multiLevelType w:val="hybridMultilevel"/>
    <w:tmpl w:val="D32602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27866950"/>
    <w:multiLevelType w:val="hybridMultilevel"/>
    <w:tmpl w:val="F6AA67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7B45942"/>
    <w:multiLevelType w:val="hybridMultilevel"/>
    <w:tmpl w:val="F15275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B37676"/>
    <w:multiLevelType w:val="multilevel"/>
    <w:tmpl w:val="B6402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B03E85"/>
    <w:multiLevelType w:val="hybridMultilevel"/>
    <w:tmpl w:val="C5A60B46"/>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nsid w:val="31F677D2"/>
    <w:multiLevelType w:val="hybridMultilevel"/>
    <w:tmpl w:val="13422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854A38"/>
    <w:multiLevelType w:val="hybridMultilevel"/>
    <w:tmpl w:val="BA1E8782"/>
    <w:lvl w:ilvl="0" w:tplc="335E1B7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806B82"/>
    <w:multiLevelType w:val="hybridMultilevel"/>
    <w:tmpl w:val="3B9671C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9327D6E"/>
    <w:multiLevelType w:val="hybridMultilevel"/>
    <w:tmpl w:val="5706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5F136F"/>
    <w:multiLevelType w:val="hybridMultilevel"/>
    <w:tmpl w:val="5D48091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3C356AA5"/>
    <w:multiLevelType w:val="hybridMultilevel"/>
    <w:tmpl w:val="2FC4D7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FE505F0"/>
    <w:multiLevelType w:val="hybridMultilevel"/>
    <w:tmpl w:val="152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04853B7"/>
    <w:multiLevelType w:val="hybridMultilevel"/>
    <w:tmpl w:val="0A2C78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2E333CD"/>
    <w:multiLevelType w:val="hybridMultilevel"/>
    <w:tmpl w:val="F1D4D698"/>
    <w:lvl w:ilvl="0" w:tplc="0C090013">
      <w:start w:val="1"/>
      <w:numFmt w:val="upperRoman"/>
      <w:lvlText w:val="%1."/>
      <w:lvlJc w:val="right"/>
      <w:pPr>
        <w:ind w:left="720" w:hanging="360"/>
      </w:pPr>
      <w:rPr>
        <w:rFonts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48B32CF6"/>
    <w:multiLevelType w:val="hybridMultilevel"/>
    <w:tmpl w:val="04184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C761310"/>
    <w:multiLevelType w:val="hybridMultilevel"/>
    <w:tmpl w:val="201056F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nsid w:val="570A7411"/>
    <w:multiLevelType w:val="hybridMultilevel"/>
    <w:tmpl w:val="DCF08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76A3643"/>
    <w:multiLevelType w:val="hybridMultilevel"/>
    <w:tmpl w:val="F27C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7176C9"/>
    <w:multiLevelType w:val="hybridMultilevel"/>
    <w:tmpl w:val="BF78D8A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5C7A0219"/>
    <w:multiLevelType w:val="hybridMultilevel"/>
    <w:tmpl w:val="3398AE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7F42112">
      <w:numFmt w:val="bullet"/>
      <w:lvlText w:val="-"/>
      <w:lvlJc w:val="left"/>
      <w:pPr>
        <w:ind w:left="1800" w:hanging="360"/>
      </w:pPr>
      <w:rPr>
        <w:rFonts w:ascii="Calibri" w:eastAsia="Times New Roman" w:hAnsi="Calibri" w:cs="Calibr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EF7011C"/>
    <w:multiLevelType w:val="hybridMultilevel"/>
    <w:tmpl w:val="7E9CAA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0D04D2C"/>
    <w:multiLevelType w:val="hybridMultilevel"/>
    <w:tmpl w:val="D1121578"/>
    <w:lvl w:ilvl="0" w:tplc="40765BD0">
      <w:numFmt w:val="bullet"/>
      <w:lvlText w:val="-"/>
      <w:lvlJc w:val="left"/>
      <w:pPr>
        <w:ind w:left="360"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2F945DD"/>
    <w:multiLevelType w:val="hybridMultilevel"/>
    <w:tmpl w:val="D9F65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3E470E8"/>
    <w:multiLevelType w:val="hybridMultilevel"/>
    <w:tmpl w:val="AAF0364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6">
    <w:nsid w:val="64BC50AD"/>
    <w:multiLevelType w:val="hybridMultilevel"/>
    <w:tmpl w:val="63CCE7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E56CD6"/>
    <w:multiLevelType w:val="hybridMultilevel"/>
    <w:tmpl w:val="26CA87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8"/>
  </w:num>
  <w:num w:numId="3">
    <w:abstractNumId w:val="9"/>
  </w:num>
  <w:num w:numId="4">
    <w:abstractNumId w:val="35"/>
  </w:num>
  <w:num w:numId="5">
    <w:abstractNumId w:val="17"/>
  </w:num>
  <w:num w:numId="6">
    <w:abstractNumId w:val="18"/>
  </w:num>
  <w:num w:numId="7">
    <w:abstractNumId w:val="2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0"/>
  </w:num>
  <w:num w:numId="11">
    <w:abstractNumId w:val="6"/>
  </w:num>
  <w:num w:numId="12">
    <w:abstractNumId w:val="25"/>
  </w:num>
  <w:num w:numId="13">
    <w:abstractNumId w:val="1"/>
  </w:num>
  <w:num w:numId="14">
    <w:abstractNumId w:val="14"/>
  </w:num>
  <w:num w:numId="15">
    <w:abstractNumId w:val="26"/>
  </w:num>
  <w:num w:numId="16">
    <w:abstractNumId w:val="21"/>
  </w:num>
  <w:num w:numId="17">
    <w:abstractNumId w:val="12"/>
  </w:num>
  <w:num w:numId="18">
    <w:abstractNumId w:val="16"/>
  </w:num>
  <w:num w:numId="19">
    <w:abstractNumId w:val="23"/>
  </w:num>
  <w:num w:numId="20">
    <w:abstractNumId w:val="27"/>
  </w:num>
  <w:num w:numId="21">
    <w:abstractNumId w:val="19"/>
  </w:num>
  <w:num w:numId="22">
    <w:abstractNumId w:val="33"/>
  </w:num>
  <w:num w:numId="23">
    <w:abstractNumId w:val="22"/>
  </w:num>
  <w:num w:numId="24">
    <w:abstractNumId w:val="13"/>
  </w:num>
  <w:num w:numId="25">
    <w:abstractNumId w:val="3"/>
  </w:num>
  <w:num w:numId="26">
    <w:abstractNumId w:val="31"/>
  </w:num>
  <w:num w:numId="27">
    <w:abstractNumId w:val="37"/>
  </w:num>
  <w:num w:numId="28">
    <w:abstractNumId w:val="36"/>
  </w:num>
  <w:num w:numId="29">
    <w:abstractNumId w:val="24"/>
  </w:num>
  <w:num w:numId="30">
    <w:abstractNumId w:val="11"/>
  </w:num>
  <w:num w:numId="31">
    <w:abstractNumId w:val="4"/>
  </w:num>
  <w:num w:numId="32">
    <w:abstractNumId w:val="8"/>
  </w:num>
  <w:num w:numId="33">
    <w:abstractNumId w:val="34"/>
  </w:num>
  <w:num w:numId="34">
    <w:abstractNumId w:val="29"/>
  </w:num>
  <w:num w:numId="35">
    <w:abstractNumId w:val="32"/>
  </w:num>
  <w:num w:numId="36">
    <w:abstractNumId w:val="0"/>
  </w:num>
  <w:num w:numId="37">
    <w:abstractNumId w:val="5"/>
  </w:num>
  <w:num w:numId="38">
    <w:abstractNumId w:val="2"/>
  </w:num>
  <w:num w:numId="3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DateAndTime/>
  <w:proofState w:spelling="clean" w:grammar="clean"/>
  <w:defaultTabStop w:val="720"/>
  <w:characterSpacingControl w:val="doNotCompress"/>
  <w:hdrShapeDefaults>
    <o:shapedefaults v:ext="edit" spidmax="38913">
      <o:colormru v:ext="edit" colors="#09c,#069,#004b70"/>
    </o:shapedefaults>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28"/>
    <w:rsid w:val="00001EFD"/>
    <w:rsid w:val="00002C72"/>
    <w:rsid w:val="0000302E"/>
    <w:rsid w:val="00003C38"/>
    <w:rsid w:val="000115C4"/>
    <w:rsid w:val="00011987"/>
    <w:rsid w:val="00011C64"/>
    <w:rsid w:val="000167F3"/>
    <w:rsid w:val="00020576"/>
    <w:rsid w:val="0002479D"/>
    <w:rsid w:val="00025C5D"/>
    <w:rsid w:val="00026815"/>
    <w:rsid w:val="0003260B"/>
    <w:rsid w:val="00041129"/>
    <w:rsid w:val="00041DD6"/>
    <w:rsid w:val="00051DF5"/>
    <w:rsid w:val="00052B1E"/>
    <w:rsid w:val="00057229"/>
    <w:rsid w:val="00057C36"/>
    <w:rsid w:val="000613A3"/>
    <w:rsid w:val="00061A03"/>
    <w:rsid w:val="00066301"/>
    <w:rsid w:val="00070B0E"/>
    <w:rsid w:val="00081D5E"/>
    <w:rsid w:val="00090C91"/>
    <w:rsid w:val="000929F4"/>
    <w:rsid w:val="00094550"/>
    <w:rsid w:val="00094E33"/>
    <w:rsid w:val="00095919"/>
    <w:rsid w:val="000A27C0"/>
    <w:rsid w:val="000A3197"/>
    <w:rsid w:val="000B0AB6"/>
    <w:rsid w:val="000B5A53"/>
    <w:rsid w:val="000C1736"/>
    <w:rsid w:val="000C448B"/>
    <w:rsid w:val="000C65E5"/>
    <w:rsid w:val="000C7A24"/>
    <w:rsid w:val="000D329A"/>
    <w:rsid w:val="000D62DB"/>
    <w:rsid w:val="000D6665"/>
    <w:rsid w:val="000D7F6C"/>
    <w:rsid w:val="000E0085"/>
    <w:rsid w:val="000E39E7"/>
    <w:rsid w:val="000F4CFE"/>
    <w:rsid w:val="000F5808"/>
    <w:rsid w:val="00107032"/>
    <w:rsid w:val="00112B03"/>
    <w:rsid w:val="00114021"/>
    <w:rsid w:val="00120D82"/>
    <w:rsid w:val="0012169F"/>
    <w:rsid w:val="00122FB2"/>
    <w:rsid w:val="00125E41"/>
    <w:rsid w:val="00125E97"/>
    <w:rsid w:val="00127900"/>
    <w:rsid w:val="00133F30"/>
    <w:rsid w:val="00136150"/>
    <w:rsid w:val="00144853"/>
    <w:rsid w:val="0014561E"/>
    <w:rsid w:val="001525F4"/>
    <w:rsid w:val="001534B5"/>
    <w:rsid w:val="00154BFC"/>
    <w:rsid w:val="00157523"/>
    <w:rsid w:val="00171C53"/>
    <w:rsid w:val="00180F43"/>
    <w:rsid w:val="001812DE"/>
    <w:rsid w:val="001846FF"/>
    <w:rsid w:val="00192D63"/>
    <w:rsid w:val="00195D1B"/>
    <w:rsid w:val="001A541A"/>
    <w:rsid w:val="001A5FA8"/>
    <w:rsid w:val="001A68DC"/>
    <w:rsid w:val="001B2101"/>
    <w:rsid w:val="001B624A"/>
    <w:rsid w:val="001B7FFC"/>
    <w:rsid w:val="001C10C5"/>
    <w:rsid w:val="001C73F3"/>
    <w:rsid w:val="001D3BBE"/>
    <w:rsid w:val="001E1640"/>
    <w:rsid w:val="001E22AB"/>
    <w:rsid w:val="001F317B"/>
    <w:rsid w:val="001F3AD5"/>
    <w:rsid w:val="001F3F29"/>
    <w:rsid w:val="001F5B7D"/>
    <w:rsid w:val="001F6C21"/>
    <w:rsid w:val="002025E2"/>
    <w:rsid w:val="00202C19"/>
    <w:rsid w:val="002064BC"/>
    <w:rsid w:val="00215EE1"/>
    <w:rsid w:val="00220865"/>
    <w:rsid w:val="00227FCD"/>
    <w:rsid w:val="00233728"/>
    <w:rsid w:val="0025624A"/>
    <w:rsid w:val="00256908"/>
    <w:rsid w:val="00257A32"/>
    <w:rsid w:val="0026279E"/>
    <w:rsid w:val="00262FF0"/>
    <w:rsid w:val="002651C2"/>
    <w:rsid w:val="00267F50"/>
    <w:rsid w:val="00282218"/>
    <w:rsid w:val="00282DBE"/>
    <w:rsid w:val="00284B65"/>
    <w:rsid w:val="0028514F"/>
    <w:rsid w:val="00291B7B"/>
    <w:rsid w:val="002948E2"/>
    <w:rsid w:val="00294B82"/>
    <w:rsid w:val="00295C40"/>
    <w:rsid w:val="002A4DDD"/>
    <w:rsid w:val="002A7F35"/>
    <w:rsid w:val="002B2179"/>
    <w:rsid w:val="002B506E"/>
    <w:rsid w:val="002B5912"/>
    <w:rsid w:val="002C7001"/>
    <w:rsid w:val="002D6926"/>
    <w:rsid w:val="002E2B47"/>
    <w:rsid w:val="002F3062"/>
    <w:rsid w:val="00302254"/>
    <w:rsid w:val="003067FE"/>
    <w:rsid w:val="00313268"/>
    <w:rsid w:val="00317695"/>
    <w:rsid w:val="00324F80"/>
    <w:rsid w:val="0032701E"/>
    <w:rsid w:val="003335D3"/>
    <w:rsid w:val="0033760B"/>
    <w:rsid w:val="003379B0"/>
    <w:rsid w:val="003400BB"/>
    <w:rsid w:val="003465E7"/>
    <w:rsid w:val="00346800"/>
    <w:rsid w:val="0035023E"/>
    <w:rsid w:val="003566E8"/>
    <w:rsid w:val="00364DAD"/>
    <w:rsid w:val="003711D5"/>
    <w:rsid w:val="003727E4"/>
    <w:rsid w:val="0037416A"/>
    <w:rsid w:val="00384E96"/>
    <w:rsid w:val="00386779"/>
    <w:rsid w:val="00390942"/>
    <w:rsid w:val="003A6BE1"/>
    <w:rsid w:val="003B1C83"/>
    <w:rsid w:val="003B27A3"/>
    <w:rsid w:val="003B3E3E"/>
    <w:rsid w:val="003C3C1B"/>
    <w:rsid w:val="003C7D14"/>
    <w:rsid w:val="003D37B7"/>
    <w:rsid w:val="003D5E2B"/>
    <w:rsid w:val="003D6DCC"/>
    <w:rsid w:val="003E0075"/>
    <w:rsid w:val="003E6D0F"/>
    <w:rsid w:val="003F3FB1"/>
    <w:rsid w:val="003F43CE"/>
    <w:rsid w:val="003F690B"/>
    <w:rsid w:val="004006CD"/>
    <w:rsid w:val="004033F5"/>
    <w:rsid w:val="00405332"/>
    <w:rsid w:val="0041755D"/>
    <w:rsid w:val="00421E78"/>
    <w:rsid w:val="00423445"/>
    <w:rsid w:val="00426D41"/>
    <w:rsid w:val="004411D3"/>
    <w:rsid w:val="00454BAD"/>
    <w:rsid w:val="004611FC"/>
    <w:rsid w:val="004639A0"/>
    <w:rsid w:val="00471BBB"/>
    <w:rsid w:val="00471D47"/>
    <w:rsid w:val="0047692A"/>
    <w:rsid w:val="004777B7"/>
    <w:rsid w:val="00481879"/>
    <w:rsid w:val="004831E3"/>
    <w:rsid w:val="004876B5"/>
    <w:rsid w:val="0049110D"/>
    <w:rsid w:val="004940C7"/>
    <w:rsid w:val="00494241"/>
    <w:rsid w:val="0049573B"/>
    <w:rsid w:val="004A2CDC"/>
    <w:rsid w:val="004B0FEE"/>
    <w:rsid w:val="004B4C84"/>
    <w:rsid w:val="004B6E67"/>
    <w:rsid w:val="004C00EA"/>
    <w:rsid w:val="004C5C6A"/>
    <w:rsid w:val="004C7DF0"/>
    <w:rsid w:val="004D3A22"/>
    <w:rsid w:val="004E63C3"/>
    <w:rsid w:val="004E75B7"/>
    <w:rsid w:val="004F2703"/>
    <w:rsid w:val="004F3F70"/>
    <w:rsid w:val="004F40E9"/>
    <w:rsid w:val="004F7498"/>
    <w:rsid w:val="004F7B06"/>
    <w:rsid w:val="005010D3"/>
    <w:rsid w:val="00507B1A"/>
    <w:rsid w:val="005135CD"/>
    <w:rsid w:val="005170C4"/>
    <w:rsid w:val="0051724D"/>
    <w:rsid w:val="005229AB"/>
    <w:rsid w:val="00522F38"/>
    <w:rsid w:val="005323F8"/>
    <w:rsid w:val="005367B0"/>
    <w:rsid w:val="00537D53"/>
    <w:rsid w:val="00544296"/>
    <w:rsid w:val="00551D8D"/>
    <w:rsid w:val="00553426"/>
    <w:rsid w:val="005561E5"/>
    <w:rsid w:val="00557A9C"/>
    <w:rsid w:val="00561D65"/>
    <w:rsid w:val="00562E54"/>
    <w:rsid w:val="00580658"/>
    <w:rsid w:val="00583875"/>
    <w:rsid w:val="00594619"/>
    <w:rsid w:val="005A350F"/>
    <w:rsid w:val="005A77A9"/>
    <w:rsid w:val="005A7926"/>
    <w:rsid w:val="005B0B3E"/>
    <w:rsid w:val="005B444A"/>
    <w:rsid w:val="005B7B25"/>
    <w:rsid w:val="005C44F8"/>
    <w:rsid w:val="005C5CE5"/>
    <w:rsid w:val="005D00FE"/>
    <w:rsid w:val="005D08CB"/>
    <w:rsid w:val="005D1FC2"/>
    <w:rsid w:val="005E09F8"/>
    <w:rsid w:val="005F0077"/>
    <w:rsid w:val="005F421E"/>
    <w:rsid w:val="005F4A67"/>
    <w:rsid w:val="005F6799"/>
    <w:rsid w:val="0060161F"/>
    <w:rsid w:val="006029CA"/>
    <w:rsid w:val="00605034"/>
    <w:rsid w:val="006107E8"/>
    <w:rsid w:val="006121BD"/>
    <w:rsid w:val="0062145C"/>
    <w:rsid w:val="00622B3D"/>
    <w:rsid w:val="00624F41"/>
    <w:rsid w:val="0063199C"/>
    <w:rsid w:val="0063210D"/>
    <w:rsid w:val="00637F13"/>
    <w:rsid w:val="00644FBE"/>
    <w:rsid w:val="00651E9D"/>
    <w:rsid w:val="00655EF1"/>
    <w:rsid w:val="00656700"/>
    <w:rsid w:val="00663C9D"/>
    <w:rsid w:val="00664E72"/>
    <w:rsid w:val="0066542B"/>
    <w:rsid w:val="006749E4"/>
    <w:rsid w:val="00675633"/>
    <w:rsid w:val="006762E8"/>
    <w:rsid w:val="00681C40"/>
    <w:rsid w:val="006841B2"/>
    <w:rsid w:val="00684B48"/>
    <w:rsid w:val="006867C9"/>
    <w:rsid w:val="00686D57"/>
    <w:rsid w:val="00687114"/>
    <w:rsid w:val="0068788F"/>
    <w:rsid w:val="0069414B"/>
    <w:rsid w:val="00695CA6"/>
    <w:rsid w:val="006A351A"/>
    <w:rsid w:val="006A67E3"/>
    <w:rsid w:val="006A7540"/>
    <w:rsid w:val="006B134A"/>
    <w:rsid w:val="006B45B1"/>
    <w:rsid w:val="006B47D3"/>
    <w:rsid w:val="006B78AA"/>
    <w:rsid w:val="006C1343"/>
    <w:rsid w:val="006C2168"/>
    <w:rsid w:val="006C2BAA"/>
    <w:rsid w:val="006C3372"/>
    <w:rsid w:val="006C3A67"/>
    <w:rsid w:val="006C5EBF"/>
    <w:rsid w:val="006C67D4"/>
    <w:rsid w:val="006D0BAC"/>
    <w:rsid w:val="006D7D14"/>
    <w:rsid w:val="006E0713"/>
    <w:rsid w:val="006F6AF2"/>
    <w:rsid w:val="00705D41"/>
    <w:rsid w:val="00710930"/>
    <w:rsid w:val="007117FF"/>
    <w:rsid w:val="00713E6C"/>
    <w:rsid w:val="0072024A"/>
    <w:rsid w:val="00721476"/>
    <w:rsid w:val="00723BF5"/>
    <w:rsid w:val="0072465F"/>
    <w:rsid w:val="007311F0"/>
    <w:rsid w:val="0073495C"/>
    <w:rsid w:val="00736313"/>
    <w:rsid w:val="00741D7F"/>
    <w:rsid w:val="00753513"/>
    <w:rsid w:val="007543BB"/>
    <w:rsid w:val="00756AF5"/>
    <w:rsid w:val="007608A3"/>
    <w:rsid w:val="0076194F"/>
    <w:rsid w:val="007636E2"/>
    <w:rsid w:val="007645F6"/>
    <w:rsid w:val="00765C2E"/>
    <w:rsid w:val="00787985"/>
    <w:rsid w:val="0079059F"/>
    <w:rsid w:val="00790985"/>
    <w:rsid w:val="00791850"/>
    <w:rsid w:val="00795547"/>
    <w:rsid w:val="007962ED"/>
    <w:rsid w:val="00797BDF"/>
    <w:rsid w:val="007A3112"/>
    <w:rsid w:val="007A509C"/>
    <w:rsid w:val="007C3605"/>
    <w:rsid w:val="007D0CB8"/>
    <w:rsid w:val="007D2D5B"/>
    <w:rsid w:val="007D4F7A"/>
    <w:rsid w:val="007E7CA8"/>
    <w:rsid w:val="007F2C03"/>
    <w:rsid w:val="007F51BA"/>
    <w:rsid w:val="007F531D"/>
    <w:rsid w:val="00803A25"/>
    <w:rsid w:val="00806F08"/>
    <w:rsid w:val="008142E3"/>
    <w:rsid w:val="008153A5"/>
    <w:rsid w:val="00820ECA"/>
    <w:rsid w:val="008233B6"/>
    <w:rsid w:val="008242BC"/>
    <w:rsid w:val="0083041D"/>
    <w:rsid w:val="008343C0"/>
    <w:rsid w:val="008435B2"/>
    <w:rsid w:val="00853E65"/>
    <w:rsid w:val="00856738"/>
    <w:rsid w:val="0085740B"/>
    <w:rsid w:val="00860858"/>
    <w:rsid w:val="00860FCE"/>
    <w:rsid w:val="008614CE"/>
    <w:rsid w:val="0086333D"/>
    <w:rsid w:val="00873B10"/>
    <w:rsid w:val="008860BB"/>
    <w:rsid w:val="0088681A"/>
    <w:rsid w:val="0088683D"/>
    <w:rsid w:val="00891D94"/>
    <w:rsid w:val="00892687"/>
    <w:rsid w:val="00894018"/>
    <w:rsid w:val="00894E25"/>
    <w:rsid w:val="008A63D1"/>
    <w:rsid w:val="008A71E0"/>
    <w:rsid w:val="008A7DDB"/>
    <w:rsid w:val="008B556D"/>
    <w:rsid w:val="008B6BDB"/>
    <w:rsid w:val="008C7CC1"/>
    <w:rsid w:val="008C7ECD"/>
    <w:rsid w:val="008D0153"/>
    <w:rsid w:val="008D4732"/>
    <w:rsid w:val="008D49F7"/>
    <w:rsid w:val="008D4F0B"/>
    <w:rsid w:val="008D67DE"/>
    <w:rsid w:val="008E6278"/>
    <w:rsid w:val="008F5199"/>
    <w:rsid w:val="008F52F8"/>
    <w:rsid w:val="00902053"/>
    <w:rsid w:val="0090377C"/>
    <w:rsid w:val="00914759"/>
    <w:rsid w:val="009150A4"/>
    <w:rsid w:val="00915F19"/>
    <w:rsid w:val="00917BE6"/>
    <w:rsid w:val="00922E79"/>
    <w:rsid w:val="00923B1E"/>
    <w:rsid w:val="0092679A"/>
    <w:rsid w:val="00945773"/>
    <w:rsid w:val="00946C31"/>
    <w:rsid w:val="0094769B"/>
    <w:rsid w:val="00953DA1"/>
    <w:rsid w:val="00963151"/>
    <w:rsid w:val="0096562F"/>
    <w:rsid w:val="009756D6"/>
    <w:rsid w:val="00975D6C"/>
    <w:rsid w:val="00977BA4"/>
    <w:rsid w:val="00977D1F"/>
    <w:rsid w:val="0098358B"/>
    <w:rsid w:val="00985938"/>
    <w:rsid w:val="00985D74"/>
    <w:rsid w:val="0098641E"/>
    <w:rsid w:val="009960EE"/>
    <w:rsid w:val="009A02C2"/>
    <w:rsid w:val="009A0D84"/>
    <w:rsid w:val="009A6DE1"/>
    <w:rsid w:val="009A78E8"/>
    <w:rsid w:val="009B6EC2"/>
    <w:rsid w:val="009C1D44"/>
    <w:rsid w:val="009C23D4"/>
    <w:rsid w:val="009C3156"/>
    <w:rsid w:val="009C5A22"/>
    <w:rsid w:val="009C7C9B"/>
    <w:rsid w:val="009D3703"/>
    <w:rsid w:val="009D7812"/>
    <w:rsid w:val="009E6296"/>
    <w:rsid w:val="009F2067"/>
    <w:rsid w:val="00A00798"/>
    <w:rsid w:val="00A01053"/>
    <w:rsid w:val="00A05F25"/>
    <w:rsid w:val="00A11101"/>
    <w:rsid w:val="00A12D03"/>
    <w:rsid w:val="00A13967"/>
    <w:rsid w:val="00A20EFC"/>
    <w:rsid w:val="00A31BAD"/>
    <w:rsid w:val="00A373A1"/>
    <w:rsid w:val="00A435EF"/>
    <w:rsid w:val="00A4410E"/>
    <w:rsid w:val="00A47E21"/>
    <w:rsid w:val="00A556AA"/>
    <w:rsid w:val="00A7360D"/>
    <w:rsid w:val="00A770AA"/>
    <w:rsid w:val="00A8044C"/>
    <w:rsid w:val="00A80A44"/>
    <w:rsid w:val="00A81365"/>
    <w:rsid w:val="00A81EDC"/>
    <w:rsid w:val="00A8239E"/>
    <w:rsid w:val="00A829AC"/>
    <w:rsid w:val="00A93BF9"/>
    <w:rsid w:val="00A94B1A"/>
    <w:rsid w:val="00A94B29"/>
    <w:rsid w:val="00AA2009"/>
    <w:rsid w:val="00AA39A4"/>
    <w:rsid w:val="00AA3A6D"/>
    <w:rsid w:val="00AA4DCE"/>
    <w:rsid w:val="00AA603C"/>
    <w:rsid w:val="00AB7741"/>
    <w:rsid w:val="00AC6CFB"/>
    <w:rsid w:val="00AD1599"/>
    <w:rsid w:val="00AD4DA2"/>
    <w:rsid w:val="00AE6020"/>
    <w:rsid w:val="00AF11C3"/>
    <w:rsid w:val="00AF57C5"/>
    <w:rsid w:val="00AF65E9"/>
    <w:rsid w:val="00AF79B3"/>
    <w:rsid w:val="00B02050"/>
    <w:rsid w:val="00B05B14"/>
    <w:rsid w:val="00B06CF1"/>
    <w:rsid w:val="00B10E1F"/>
    <w:rsid w:val="00B24109"/>
    <w:rsid w:val="00B241AC"/>
    <w:rsid w:val="00B25E4D"/>
    <w:rsid w:val="00B261BA"/>
    <w:rsid w:val="00B31DAB"/>
    <w:rsid w:val="00B361E4"/>
    <w:rsid w:val="00B36267"/>
    <w:rsid w:val="00B416E2"/>
    <w:rsid w:val="00B4403F"/>
    <w:rsid w:val="00B473D1"/>
    <w:rsid w:val="00B4797A"/>
    <w:rsid w:val="00B50513"/>
    <w:rsid w:val="00B56E5F"/>
    <w:rsid w:val="00B60927"/>
    <w:rsid w:val="00B66568"/>
    <w:rsid w:val="00B67C49"/>
    <w:rsid w:val="00B70917"/>
    <w:rsid w:val="00B72E36"/>
    <w:rsid w:val="00B82FA6"/>
    <w:rsid w:val="00B8432E"/>
    <w:rsid w:val="00B85C31"/>
    <w:rsid w:val="00B921AB"/>
    <w:rsid w:val="00B92DEC"/>
    <w:rsid w:val="00B92FCE"/>
    <w:rsid w:val="00B93622"/>
    <w:rsid w:val="00BA24F4"/>
    <w:rsid w:val="00BA4BA0"/>
    <w:rsid w:val="00BA59A4"/>
    <w:rsid w:val="00BA6119"/>
    <w:rsid w:val="00BB0884"/>
    <w:rsid w:val="00BB280B"/>
    <w:rsid w:val="00BB7755"/>
    <w:rsid w:val="00BC5E73"/>
    <w:rsid w:val="00BD69E4"/>
    <w:rsid w:val="00BE21AD"/>
    <w:rsid w:val="00BF6CDA"/>
    <w:rsid w:val="00C04608"/>
    <w:rsid w:val="00C1279D"/>
    <w:rsid w:val="00C12F7E"/>
    <w:rsid w:val="00C139DD"/>
    <w:rsid w:val="00C1742D"/>
    <w:rsid w:val="00C26D39"/>
    <w:rsid w:val="00C32BA6"/>
    <w:rsid w:val="00C37727"/>
    <w:rsid w:val="00C420A8"/>
    <w:rsid w:val="00C4382A"/>
    <w:rsid w:val="00C513EF"/>
    <w:rsid w:val="00C515C6"/>
    <w:rsid w:val="00C566C3"/>
    <w:rsid w:val="00C57037"/>
    <w:rsid w:val="00C62EF7"/>
    <w:rsid w:val="00C642FE"/>
    <w:rsid w:val="00C6527C"/>
    <w:rsid w:val="00C662F6"/>
    <w:rsid w:val="00C67554"/>
    <w:rsid w:val="00C7146A"/>
    <w:rsid w:val="00C720AA"/>
    <w:rsid w:val="00C74BFB"/>
    <w:rsid w:val="00C754F9"/>
    <w:rsid w:val="00C8168A"/>
    <w:rsid w:val="00C84E24"/>
    <w:rsid w:val="00C85539"/>
    <w:rsid w:val="00C90C2B"/>
    <w:rsid w:val="00C926A0"/>
    <w:rsid w:val="00C95081"/>
    <w:rsid w:val="00CA0093"/>
    <w:rsid w:val="00CA7BB6"/>
    <w:rsid w:val="00CB3141"/>
    <w:rsid w:val="00CB38F5"/>
    <w:rsid w:val="00CC028C"/>
    <w:rsid w:val="00CC0332"/>
    <w:rsid w:val="00CD68FC"/>
    <w:rsid w:val="00CE3DE6"/>
    <w:rsid w:val="00CE6191"/>
    <w:rsid w:val="00CE643D"/>
    <w:rsid w:val="00CE7C5A"/>
    <w:rsid w:val="00CF53FF"/>
    <w:rsid w:val="00D02C68"/>
    <w:rsid w:val="00D042CA"/>
    <w:rsid w:val="00D0673B"/>
    <w:rsid w:val="00D067CE"/>
    <w:rsid w:val="00D074B1"/>
    <w:rsid w:val="00D163F9"/>
    <w:rsid w:val="00D231DE"/>
    <w:rsid w:val="00D30A02"/>
    <w:rsid w:val="00D33307"/>
    <w:rsid w:val="00D3508C"/>
    <w:rsid w:val="00D4074F"/>
    <w:rsid w:val="00D44798"/>
    <w:rsid w:val="00D512FA"/>
    <w:rsid w:val="00D54FB4"/>
    <w:rsid w:val="00D60AE1"/>
    <w:rsid w:val="00D626DF"/>
    <w:rsid w:val="00D63100"/>
    <w:rsid w:val="00D64CE7"/>
    <w:rsid w:val="00D72C2A"/>
    <w:rsid w:val="00D73EC9"/>
    <w:rsid w:val="00D7426E"/>
    <w:rsid w:val="00D75DF7"/>
    <w:rsid w:val="00D761FA"/>
    <w:rsid w:val="00D862E3"/>
    <w:rsid w:val="00D86B0E"/>
    <w:rsid w:val="00D931E3"/>
    <w:rsid w:val="00D947F0"/>
    <w:rsid w:val="00DA6551"/>
    <w:rsid w:val="00DB033B"/>
    <w:rsid w:val="00DB268D"/>
    <w:rsid w:val="00DB35F5"/>
    <w:rsid w:val="00DB5852"/>
    <w:rsid w:val="00DC5997"/>
    <w:rsid w:val="00DC6902"/>
    <w:rsid w:val="00DD04B9"/>
    <w:rsid w:val="00DD5A57"/>
    <w:rsid w:val="00DE24D8"/>
    <w:rsid w:val="00DE3D3C"/>
    <w:rsid w:val="00DE7B29"/>
    <w:rsid w:val="00DF10AD"/>
    <w:rsid w:val="00DF5D98"/>
    <w:rsid w:val="00DF714C"/>
    <w:rsid w:val="00E00454"/>
    <w:rsid w:val="00E07A3C"/>
    <w:rsid w:val="00E14416"/>
    <w:rsid w:val="00E16CE2"/>
    <w:rsid w:val="00E23D28"/>
    <w:rsid w:val="00E24657"/>
    <w:rsid w:val="00E24A95"/>
    <w:rsid w:val="00E252F0"/>
    <w:rsid w:val="00E50CF1"/>
    <w:rsid w:val="00E52CC3"/>
    <w:rsid w:val="00E56C5A"/>
    <w:rsid w:val="00E63EDA"/>
    <w:rsid w:val="00E70022"/>
    <w:rsid w:val="00E8361B"/>
    <w:rsid w:val="00E84DCE"/>
    <w:rsid w:val="00E84F70"/>
    <w:rsid w:val="00E86858"/>
    <w:rsid w:val="00E911B4"/>
    <w:rsid w:val="00E91B90"/>
    <w:rsid w:val="00E93D9B"/>
    <w:rsid w:val="00E954CF"/>
    <w:rsid w:val="00E97295"/>
    <w:rsid w:val="00EA18F7"/>
    <w:rsid w:val="00EA452A"/>
    <w:rsid w:val="00EA6021"/>
    <w:rsid w:val="00EB1D3E"/>
    <w:rsid w:val="00EC0E9C"/>
    <w:rsid w:val="00EC11BD"/>
    <w:rsid w:val="00EC41E0"/>
    <w:rsid w:val="00ED171F"/>
    <w:rsid w:val="00ED2E1D"/>
    <w:rsid w:val="00ED7C3F"/>
    <w:rsid w:val="00EE0B07"/>
    <w:rsid w:val="00EE292A"/>
    <w:rsid w:val="00EF2285"/>
    <w:rsid w:val="00EF3487"/>
    <w:rsid w:val="00F0177C"/>
    <w:rsid w:val="00F03972"/>
    <w:rsid w:val="00F133C0"/>
    <w:rsid w:val="00F14A07"/>
    <w:rsid w:val="00F14A8E"/>
    <w:rsid w:val="00F2294B"/>
    <w:rsid w:val="00F22CE2"/>
    <w:rsid w:val="00F23E98"/>
    <w:rsid w:val="00F26CA3"/>
    <w:rsid w:val="00F3014E"/>
    <w:rsid w:val="00F41A78"/>
    <w:rsid w:val="00F43EF2"/>
    <w:rsid w:val="00F44FDC"/>
    <w:rsid w:val="00F5139C"/>
    <w:rsid w:val="00F542A9"/>
    <w:rsid w:val="00F56E00"/>
    <w:rsid w:val="00F63F99"/>
    <w:rsid w:val="00F70E4F"/>
    <w:rsid w:val="00F722A4"/>
    <w:rsid w:val="00F747F1"/>
    <w:rsid w:val="00F76BD7"/>
    <w:rsid w:val="00F81DE0"/>
    <w:rsid w:val="00F84F0E"/>
    <w:rsid w:val="00F86E6E"/>
    <w:rsid w:val="00F9070D"/>
    <w:rsid w:val="00FA2D9A"/>
    <w:rsid w:val="00FA6FC5"/>
    <w:rsid w:val="00FB5D9A"/>
    <w:rsid w:val="00FB7CAB"/>
    <w:rsid w:val="00FD0B45"/>
    <w:rsid w:val="00FD0DC2"/>
    <w:rsid w:val="00FD5D53"/>
    <w:rsid w:val="00FD7364"/>
    <w:rsid w:val="00FD7411"/>
    <w:rsid w:val="00FE48F0"/>
    <w:rsid w:val="00FE5C28"/>
    <w:rsid w:val="00FE7D2F"/>
    <w:rsid w:val="00FF4D48"/>
    <w:rsid w:val="00FF75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9c,#069,#004b7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922E79"/>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before="480"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E79"/>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uiPriority w:val="59"/>
    <w:rsid w:val="00F72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basedOn w:val="DefaultParagraphFont"/>
    <w:link w:val="ListParagraph"/>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semiHidden/>
    <w:unhideWhenUsed/>
    <w:rsid w:val="0088683D"/>
    <w:rPr>
      <w:sz w:val="20"/>
      <w:szCs w:val="20"/>
    </w:rPr>
  </w:style>
  <w:style w:type="character" w:customStyle="1" w:styleId="CommentTextChar">
    <w:name w:val="Comment Text Char"/>
    <w:basedOn w:val="DefaultParagraphFont"/>
    <w:link w:val="CommentText"/>
    <w:uiPriority w:val="99"/>
    <w:semiHidden/>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paragraph" w:styleId="EndnoteText">
    <w:name w:val="endnote text"/>
    <w:basedOn w:val="Normal"/>
    <w:link w:val="EndnoteTextChar"/>
    <w:uiPriority w:val="99"/>
    <w:semiHidden/>
    <w:unhideWhenUsed/>
    <w:rsid w:val="00736313"/>
    <w:pPr>
      <w:spacing w:after="0"/>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uiPriority w:val="99"/>
    <w:semiHidden/>
    <w:rsid w:val="00736313"/>
    <w:rPr>
      <w:rFonts w:eastAsia="Times New Roman" w:cs="Times New Roman"/>
    </w:rPr>
  </w:style>
  <w:style w:type="character" w:styleId="EndnoteReference">
    <w:name w:val="endnote reference"/>
    <w:basedOn w:val="DefaultParagraphFont"/>
    <w:uiPriority w:val="99"/>
    <w:semiHidden/>
    <w:unhideWhenUsed/>
    <w:rsid w:val="00736313"/>
    <w:rPr>
      <w:vertAlign w:val="superscript"/>
    </w:rPr>
  </w:style>
  <w:style w:type="paragraph" w:styleId="FootnoteText">
    <w:name w:val="footnote text"/>
    <w:basedOn w:val="Normal"/>
    <w:link w:val="FootnoteTextChar"/>
    <w:uiPriority w:val="99"/>
    <w:semiHidden/>
    <w:unhideWhenUsed/>
    <w:rsid w:val="006A7540"/>
    <w:pPr>
      <w:spacing w:after="0"/>
    </w:pPr>
    <w:rPr>
      <w:sz w:val="20"/>
      <w:szCs w:val="20"/>
    </w:rPr>
  </w:style>
  <w:style w:type="character" w:customStyle="1" w:styleId="FootnoteTextChar">
    <w:name w:val="Footnote Text Char"/>
    <w:basedOn w:val="DefaultParagraphFont"/>
    <w:link w:val="FootnoteText"/>
    <w:uiPriority w:val="99"/>
    <w:semiHidden/>
    <w:rsid w:val="006A7540"/>
    <w:rPr>
      <w:rFonts w:ascii="Calibri" w:hAnsi="Calibri" w:cs="Calibri"/>
      <w:lang w:eastAsia="en-US"/>
    </w:rPr>
  </w:style>
  <w:style w:type="character" w:styleId="FootnoteReference">
    <w:name w:val="footnote reference"/>
    <w:basedOn w:val="DefaultParagraphFont"/>
    <w:uiPriority w:val="99"/>
    <w:semiHidden/>
    <w:unhideWhenUsed/>
    <w:rsid w:val="006A7540"/>
    <w:rPr>
      <w:vertAlign w:val="superscript"/>
    </w:rPr>
  </w:style>
  <w:style w:type="paragraph" w:styleId="Revision">
    <w:name w:val="Revision"/>
    <w:hidden/>
    <w:uiPriority w:val="99"/>
    <w:semiHidden/>
    <w:rsid w:val="00D512FA"/>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Dotum" w:hAnsi="Arial"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C1"/>
    <w:pPr>
      <w:spacing w:after="200"/>
    </w:pPr>
    <w:rPr>
      <w:rFonts w:ascii="Calibri" w:hAnsi="Calibri" w:cs="Calibri"/>
      <w:sz w:val="22"/>
      <w:szCs w:val="22"/>
      <w:lang w:eastAsia="en-US"/>
    </w:rPr>
  </w:style>
  <w:style w:type="paragraph" w:styleId="Heading1">
    <w:name w:val="heading 1"/>
    <w:next w:val="Normal"/>
    <w:link w:val="Heading1Char"/>
    <w:uiPriority w:val="9"/>
    <w:qFormat/>
    <w:rsid w:val="00922E79"/>
    <w:pPr>
      <w:pageBreakBefore/>
      <w:widowControl w:val="0"/>
      <w:pBdr>
        <w:top w:val="single" w:sz="48" w:space="1" w:color="D1282E"/>
        <w:left w:val="single" w:sz="48" w:space="4" w:color="D1282E"/>
        <w:bottom w:val="single" w:sz="48" w:space="1" w:color="D1282E"/>
        <w:right w:val="single" w:sz="48" w:space="4" w:color="D1282E"/>
      </w:pBdr>
      <w:shd w:val="clear" w:color="auto" w:fill="D1282E"/>
      <w:spacing w:before="480" w:after="240"/>
      <w:ind w:right="5"/>
      <w:outlineLvl w:val="0"/>
    </w:pPr>
    <w:rPr>
      <w:rFonts w:ascii="Calibri" w:eastAsia="HYGothic-Extra" w:hAnsi="Calibri" w:cs="Calibri"/>
      <w:bCs/>
      <w:color w:val="FFFFFF" w:themeColor="background1"/>
      <w:spacing w:val="-20"/>
      <w:sz w:val="60"/>
      <w:szCs w:val="60"/>
      <w:lang w:eastAsia="en-US"/>
    </w:rPr>
  </w:style>
  <w:style w:type="paragraph" w:styleId="Heading2">
    <w:name w:val="heading 2"/>
    <w:next w:val="Normal"/>
    <w:link w:val="Heading2Char"/>
    <w:uiPriority w:val="9"/>
    <w:unhideWhenUsed/>
    <w:qFormat/>
    <w:rsid w:val="00324F80"/>
    <w:pPr>
      <w:spacing w:before="360" w:after="120"/>
      <w:outlineLvl w:val="1"/>
    </w:pPr>
    <w:rPr>
      <w:caps/>
      <w:sz w:val="32"/>
      <w:szCs w:val="32"/>
      <w:lang w:eastAsia="en-US"/>
    </w:rPr>
  </w:style>
  <w:style w:type="paragraph" w:styleId="Heading3">
    <w:name w:val="heading 3"/>
    <w:next w:val="Normal"/>
    <w:link w:val="Heading3Char"/>
    <w:uiPriority w:val="9"/>
    <w:unhideWhenUsed/>
    <w:qFormat/>
    <w:rsid w:val="00922E79"/>
    <w:pPr>
      <w:spacing w:before="60"/>
      <w:outlineLvl w:val="2"/>
    </w:pPr>
    <w:rPr>
      <w:rFonts w:ascii="Calibri" w:eastAsia="HYGothic-Extra" w:hAnsi="Calibri" w:cs="Tahoma"/>
      <w:b/>
      <w:bCs/>
      <w:caps/>
      <w:color w:val="D1282E"/>
      <w:sz w:val="22"/>
      <w:szCs w:val="22"/>
      <w:lang w:eastAsia="en-US"/>
    </w:rPr>
  </w:style>
  <w:style w:type="paragraph" w:styleId="Heading4">
    <w:name w:val="heading 4"/>
    <w:basedOn w:val="Normal"/>
    <w:next w:val="Normal"/>
    <w:link w:val="Heading4Char"/>
    <w:uiPriority w:val="9"/>
    <w:unhideWhenUsed/>
    <w:qFormat/>
    <w:pPr>
      <w:keepNext/>
      <w:keepLines/>
      <w:spacing w:before="200" w:after="0"/>
      <w:outlineLvl w:val="3"/>
    </w:pPr>
    <w:rPr>
      <w:rFonts w:ascii="Arial Black" w:eastAsia="HYGothic-Extra" w:hAnsi="Arial Black" w:cs="Tahoma"/>
      <w:bCs/>
      <w:i/>
      <w:iCs/>
      <w:color w:val="7A7A7A"/>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HYGothic-Extra" w:cs="Tahoma"/>
      <w:b/>
      <w:color w:val="5B5B5B"/>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Arial Black" w:eastAsia="HYGothic-Extra" w:hAnsi="Arial Black" w:cs="Tahoma"/>
      <w:i/>
      <w:iCs/>
      <w:color w:val="5B5B5B"/>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HYGothic-Extra" w:cs="Tahoma"/>
      <w:b/>
      <w:iCs/>
      <w:color w:val="D1282E"/>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Arial Black" w:eastAsia="HYGothic-Extra" w:hAnsi="Arial Black" w:cs="Tahoma"/>
      <w:color w:val="7A7A7A"/>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Arial Black" w:eastAsia="HYGothic-Extra" w:hAnsi="Arial Black" w:cs="Tahoma"/>
      <w:i/>
      <w:iCs/>
      <w:color w:val="5B5B5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2E79"/>
    <w:rPr>
      <w:rFonts w:ascii="Calibri" w:eastAsia="HYGothic-Extra" w:hAnsi="Calibri" w:cs="Calibri"/>
      <w:bCs/>
      <w:color w:val="FFFFFF" w:themeColor="background1"/>
      <w:spacing w:val="-20"/>
      <w:sz w:val="60"/>
      <w:szCs w:val="60"/>
      <w:shd w:val="clear" w:color="auto" w:fill="D1282E"/>
      <w:lang w:eastAsia="en-US"/>
    </w:rPr>
  </w:style>
  <w:style w:type="character" w:customStyle="1" w:styleId="Heading2Char">
    <w:name w:val="Heading 2 Char"/>
    <w:link w:val="Heading2"/>
    <w:uiPriority w:val="9"/>
    <w:rsid w:val="00324F80"/>
    <w:rPr>
      <w:caps/>
      <w:sz w:val="32"/>
      <w:szCs w:val="32"/>
      <w:lang w:eastAsia="en-US"/>
    </w:rPr>
  </w:style>
  <w:style w:type="character" w:customStyle="1" w:styleId="Heading3Char">
    <w:name w:val="Heading 3 Char"/>
    <w:link w:val="Heading3"/>
    <w:uiPriority w:val="9"/>
    <w:rsid w:val="00922E79"/>
    <w:rPr>
      <w:rFonts w:ascii="Calibri" w:eastAsia="HYGothic-Extra" w:hAnsi="Calibri" w:cs="Tahoma"/>
      <w:b/>
      <w:bCs/>
      <w:caps/>
      <w:color w:val="D1282E"/>
      <w:sz w:val="22"/>
      <w:szCs w:val="22"/>
      <w:lang w:eastAsia="en-US"/>
    </w:rPr>
  </w:style>
  <w:style w:type="character" w:customStyle="1" w:styleId="Heading4Char">
    <w:name w:val="Heading 4 Char"/>
    <w:link w:val="Heading4"/>
    <w:uiPriority w:val="9"/>
    <w:rPr>
      <w:rFonts w:ascii="Arial Black" w:eastAsia="HYGothic-Extra" w:hAnsi="Arial Black" w:cs="Tahoma"/>
      <w:bCs/>
      <w:i/>
      <w:iCs/>
      <w:color w:val="7A7A7A"/>
    </w:rPr>
  </w:style>
  <w:style w:type="character" w:customStyle="1" w:styleId="Heading5Char">
    <w:name w:val="Heading 5 Char"/>
    <w:link w:val="Heading5"/>
    <w:uiPriority w:val="9"/>
    <w:semiHidden/>
    <w:rPr>
      <w:rFonts w:eastAsia="HYGothic-Extra" w:cs="Tahoma"/>
      <w:b/>
      <w:color w:val="5B5B5B"/>
    </w:rPr>
  </w:style>
  <w:style w:type="character" w:customStyle="1" w:styleId="Heading6Char">
    <w:name w:val="Heading 6 Char"/>
    <w:link w:val="Heading6"/>
    <w:uiPriority w:val="9"/>
    <w:semiHidden/>
    <w:rPr>
      <w:rFonts w:ascii="Arial Black" w:eastAsia="HYGothic-Extra" w:hAnsi="Arial Black" w:cs="Tahoma"/>
      <w:i/>
      <w:iCs/>
      <w:color w:val="5B5B5B"/>
    </w:rPr>
  </w:style>
  <w:style w:type="character" w:customStyle="1" w:styleId="Heading7Char">
    <w:name w:val="Heading 7 Char"/>
    <w:link w:val="Heading7"/>
    <w:uiPriority w:val="9"/>
    <w:semiHidden/>
    <w:rPr>
      <w:rFonts w:eastAsia="HYGothic-Extra" w:cs="Tahoma"/>
      <w:b/>
      <w:iCs/>
      <w:color w:val="D1282E"/>
    </w:rPr>
  </w:style>
  <w:style w:type="character" w:customStyle="1" w:styleId="Heading8Char">
    <w:name w:val="Heading 8 Char"/>
    <w:link w:val="Heading8"/>
    <w:uiPriority w:val="9"/>
    <w:semiHidden/>
    <w:rPr>
      <w:rFonts w:ascii="Arial Black" w:eastAsia="HYGothic-Extra" w:hAnsi="Arial Black" w:cs="Tahoma"/>
      <w:color w:val="7A7A7A"/>
      <w:sz w:val="20"/>
      <w:szCs w:val="20"/>
    </w:rPr>
  </w:style>
  <w:style w:type="character" w:customStyle="1" w:styleId="Heading9Char">
    <w:name w:val="Heading 9 Char"/>
    <w:link w:val="Heading9"/>
    <w:uiPriority w:val="9"/>
    <w:semiHidden/>
    <w:rPr>
      <w:rFonts w:ascii="Arial Black" w:eastAsia="HYGothic-Extra" w:hAnsi="Arial Black" w:cs="Tahoma"/>
      <w:i/>
      <w:iCs/>
      <w:color w:val="5B5B5B"/>
      <w:sz w:val="20"/>
      <w:szCs w:val="20"/>
    </w:rPr>
  </w:style>
  <w:style w:type="paragraph" w:styleId="Caption">
    <w:name w:val="caption"/>
    <w:basedOn w:val="Normal"/>
    <w:next w:val="Normal"/>
    <w:uiPriority w:val="35"/>
    <w:unhideWhenUsed/>
    <w:qFormat/>
    <w:rsid w:val="0002479D"/>
    <w:rPr>
      <w:b/>
      <w:bCs/>
      <w:caps/>
      <w:color w:val="7A7A7A"/>
      <w:sz w:val="18"/>
      <w:szCs w:val="18"/>
    </w:rPr>
  </w:style>
  <w:style w:type="paragraph" w:styleId="Title">
    <w:name w:val="Title"/>
    <w:basedOn w:val="Normal"/>
    <w:next w:val="Normal"/>
    <w:link w:val="TitleChar"/>
    <w:uiPriority w:val="10"/>
    <w:qFormat/>
    <w:rsid w:val="00F03972"/>
    <w:pPr>
      <w:spacing w:before="360" w:after="60"/>
      <w:contextualSpacing/>
    </w:pPr>
    <w:rPr>
      <w:rFonts w:eastAsia="HYGothic-Extra"/>
      <w:b/>
      <w:caps/>
      <w:color w:val="005374"/>
      <w:spacing w:val="-20"/>
      <w:kern w:val="28"/>
      <w:sz w:val="60"/>
      <w:szCs w:val="60"/>
    </w:rPr>
  </w:style>
  <w:style w:type="character" w:customStyle="1" w:styleId="TitleChar">
    <w:name w:val="Title Char"/>
    <w:link w:val="Title"/>
    <w:uiPriority w:val="10"/>
    <w:rsid w:val="00F03972"/>
    <w:rPr>
      <w:rFonts w:ascii="Calibri" w:eastAsia="HYGothic-Extra" w:hAnsi="Calibri" w:cs="Calibri"/>
      <w:b/>
      <w:caps/>
      <w:color w:val="005374"/>
      <w:spacing w:val="-20"/>
      <w:kern w:val="28"/>
      <w:sz w:val="60"/>
      <w:szCs w:val="60"/>
      <w:lang w:eastAsia="en-US"/>
    </w:rPr>
  </w:style>
  <w:style w:type="paragraph" w:styleId="Subtitle">
    <w:name w:val="Subtitle"/>
    <w:basedOn w:val="Normal"/>
    <w:next w:val="Normal"/>
    <w:link w:val="SubtitleChar"/>
    <w:uiPriority w:val="11"/>
    <w:qFormat/>
    <w:rsid w:val="009960EE"/>
    <w:pPr>
      <w:numPr>
        <w:ilvl w:val="1"/>
      </w:numPr>
    </w:pPr>
    <w:rPr>
      <w:rFonts w:eastAsia="HYGothic-Extra"/>
      <w:b/>
      <w:bCs/>
      <w:iCs/>
      <w:color w:val="D1282E"/>
      <w:sz w:val="40"/>
      <w:szCs w:val="40"/>
    </w:rPr>
  </w:style>
  <w:style w:type="character" w:customStyle="1" w:styleId="SubtitleChar">
    <w:name w:val="Subtitle Char"/>
    <w:link w:val="Subtitle"/>
    <w:uiPriority w:val="11"/>
    <w:rsid w:val="009960EE"/>
    <w:rPr>
      <w:rFonts w:ascii="Calibri" w:eastAsia="HYGothic-Extra" w:hAnsi="Calibri" w:cs="Calibri"/>
      <w:b/>
      <w:bCs/>
      <w:iCs/>
      <w:color w:val="D1282E"/>
      <w:sz w:val="40"/>
      <w:szCs w:val="40"/>
      <w:lang w:val="en-US" w:eastAsia="en-US"/>
    </w:rPr>
  </w:style>
  <w:style w:type="character" w:styleId="Strong">
    <w:name w:val="Strong"/>
    <w:uiPriority w:val="22"/>
    <w:qFormat/>
    <w:rPr>
      <w:b/>
      <w:bCs/>
    </w:rPr>
  </w:style>
  <w:style w:type="character" w:styleId="Emphasis">
    <w:name w:val="Emphasis"/>
    <w:uiPriority w:val="20"/>
    <w:qFormat/>
    <w:rPr>
      <w:i/>
      <w:iCs/>
    </w:rPr>
  </w:style>
  <w:style w:type="paragraph" w:styleId="NoSpacing">
    <w:name w:val="No Spacing"/>
    <w:link w:val="NoSpacingChar"/>
    <w:uiPriority w:val="1"/>
    <w:qFormat/>
    <w:rsid w:val="004C7DF0"/>
    <w:rPr>
      <w:rFonts w:ascii="Calibri" w:hAnsi="Calibri" w:cs="Calibri"/>
      <w:sz w:val="22"/>
      <w:szCs w:val="22"/>
      <w:lang w:val="en-US" w:eastAsia="en-US"/>
    </w:rPr>
  </w:style>
  <w:style w:type="character" w:customStyle="1" w:styleId="NoSpacingChar">
    <w:name w:val="No Spacing Char"/>
    <w:basedOn w:val="DefaultParagraphFont"/>
    <w:link w:val="NoSpacing"/>
    <w:uiPriority w:val="1"/>
    <w:rsid w:val="004C7DF0"/>
    <w:rPr>
      <w:rFonts w:ascii="Calibri" w:hAnsi="Calibri" w:cs="Calibri"/>
      <w:sz w:val="22"/>
      <w:szCs w:val="22"/>
      <w:lang w:val="en-US" w:eastAsia="en-US"/>
    </w:rPr>
  </w:style>
  <w:style w:type="paragraph" w:styleId="ListParagraph">
    <w:name w:val="List Paragraph"/>
    <w:basedOn w:val="Normal"/>
    <w:link w:val="ListParagraphChar"/>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sz w:val="28"/>
    </w:rPr>
  </w:style>
  <w:style w:type="character" w:customStyle="1" w:styleId="QuoteChar">
    <w:name w:val="Quote Char"/>
    <w:link w:val="Quote"/>
    <w:uiPriority w:val="29"/>
    <w:rPr>
      <w:i/>
      <w:iCs/>
      <w:color w:val="7A7A7A"/>
      <w:sz w:val="28"/>
    </w:rPr>
  </w:style>
  <w:style w:type="paragraph" w:styleId="IntenseQuote">
    <w:name w:val="Intense Quote"/>
    <w:basedOn w:val="Normal"/>
    <w:next w:val="Normal"/>
    <w:link w:val="IntenseQuoteChar"/>
    <w:uiPriority w:val="30"/>
    <w:qFormat/>
    <w:pPr>
      <w:pBdr>
        <w:top w:val="single" w:sz="36" w:space="5" w:color="000000"/>
        <w:bottom w:val="single" w:sz="18" w:space="5" w:color="D1282E"/>
      </w:pBdr>
      <w:spacing w:before="200" w:after="280" w:line="360" w:lineRule="auto"/>
    </w:pPr>
    <w:rPr>
      <w:b/>
      <w:bCs/>
      <w:i/>
      <w:iCs/>
      <w:color w:val="7F7F7F"/>
      <w:sz w:val="26"/>
    </w:rPr>
  </w:style>
  <w:style w:type="character" w:customStyle="1" w:styleId="IntenseQuoteChar">
    <w:name w:val="Intense Quote Char"/>
    <w:link w:val="IntenseQuote"/>
    <w:uiPriority w:val="30"/>
    <w:rPr>
      <w:b/>
      <w:bCs/>
      <w:i/>
      <w:iCs/>
      <w:color w:val="7F7F7F"/>
      <w:sz w:val="26"/>
    </w:rPr>
  </w:style>
  <w:style w:type="character" w:styleId="SubtleEmphasis">
    <w:name w:val="Subtle Emphasis"/>
    <w:uiPriority w:val="19"/>
    <w:qFormat/>
    <w:rPr>
      <w:i/>
      <w:iCs/>
      <w:color w:val="7A7A7A"/>
    </w:rPr>
  </w:style>
  <w:style w:type="character" w:styleId="IntenseEmphasis">
    <w:name w:val="Intense Emphasis"/>
    <w:uiPriority w:val="21"/>
    <w:qFormat/>
    <w:rPr>
      <w:b/>
      <w:bCs/>
      <w:i/>
      <w:iCs/>
      <w:color w:val="D1282E"/>
    </w:rPr>
  </w:style>
  <w:style w:type="character" w:styleId="SubtleReference">
    <w:name w:val="Subtle Reference"/>
    <w:uiPriority w:val="31"/>
    <w:qFormat/>
    <w:rPr>
      <w:rFonts w:ascii="Arial" w:hAnsi="Arial"/>
      <w:smallCaps/>
      <w:color w:val="F5C201"/>
      <w:sz w:val="22"/>
      <w:u w:val="none"/>
    </w:rPr>
  </w:style>
  <w:style w:type="character" w:styleId="IntenseReference">
    <w:name w:val="Intense Reference"/>
    <w:uiPriority w:val="32"/>
    <w:qFormat/>
    <w:rPr>
      <w:rFonts w:ascii="Arial" w:hAnsi="Arial"/>
      <w:b/>
      <w:bCs/>
      <w:caps/>
      <w:color w:val="F5C201"/>
      <w:spacing w:val="5"/>
      <w:sz w:val="22"/>
      <w:u w:val="single"/>
    </w:rPr>
  </w:style>
  <w:style w:type="character" w:styleId="BookTitle">
    <w:name w:val="Book Title"/>
    <w:uiPriority w:val="33"/>
    <w:qFormat/>
    <w:rPr>
      <w:rFonts w:ascii="Arial" w:hAnsi="Arial"/>
      <w:b/>
      <w:bCs/>
      <w:caps/>
      <w:color w:val="3D3D3D"/>
      <w:spacing w:val="5"/>
      <w:sz w:val="22"/>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PlaceholderText">
    <w:name w:val="Placeholder Text"/>
    <w:uiPriority w:val="99"/>
    <w:rPr>
      <w:color w:val="808080"/>
    </w:rPr>
  </w:style>
  <w:style w:type="paragraph" w:styleId="Header">
    <w:name w:val="header"/>
    <w:basedOn w:val="Normal"/>
    <w:link w:val="HeaderChar"/>
    <w:uiPriority w:val="99"/>
    <w:unhideWhenUsed/>
    <w:pPr>
      <w:tabs>
        <w:tab w:val="center" w:pos="4680"/>
        <w:tab w:val="right" w:pos="9360"/>
      </w:tabs>
      <w:spacing w:after="0"/>
    </w:pPr>
    <w:rPr>
      <w:lang w:eastAsia="ja-JP"/>
    </w:rPr>
  </w:style>
  <w:style w:type="character" w:customStyle="1" w:styleId="HeaderChar">
    <w:name w:val="Header Char"/>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rsid w:val="00891D94"/>
    <w:pPr>
      <w:tabs>
        <w:tab w:val="right" w:leader="dot" w:pos="8931"/>
      </w:tabs>
    </w:pPr>
    <w:rPr>
      <w:rFonts w:asciiTheme="minorHAnsi" w:hAnsiTheme="minorHAnsi" w:cstheme="minorHAnsi"/>
      <w:b/>
      <w:caps/>
    </w:rPr>
  </w:style>
  <w:style w:type="paragraph" w:styleId="TOC2">
    <w:name w:val="toc 2"/>
    <w:basedOn w:val="Normal"/>
    <w:next w:val="Normal"/>
    <w:autoRedefine/>
    <w:uiPriority w:val="39"/>
    <w:unhideWhenUsed/>
    <w:rsid w:val="00891D94"/>
    <w:pPr>
      <w:tabs>
        <w:tab w:val="right" w:leader="dot" w:pos="8931"/>
      </w:tabs>
      <w:ind w:left="220"/>
    </w:pPr>
    <w:rPr>
      <w:rFonts w:asciiTheme="minorHAnsi" w:hAnsiTheme="minorHAnsi" w:cstheme="minorHAnsi"/>
    </w:rPr>
  </w:style>
  <w:style w:type="paragraph" w:styleId="TOC3">
    <w:name w:val="toc 3"/>
    <w:basedOn w:val="Normal"/>
    <w:next w:val="Normal"/>
    <w:autoRedefine/>
    <w:uiPriority w:val="39"/>
    <w:unhideWhenUsed/>
    <w:rsid w:val="00891D94"/>
    <w:pPr>
      <w:tabs>
        <w:tab w:val="right" w:leader="dot" w:pos="8931"/>
      </w:tabs>
      <w:ind w:left="440"/>
    </w:pPr>
    <w:rPr>
      <w:rFonts w:asciiTheme="minorHAnsi" w:hAnsiTheme="minorHAnsi" w:cstheme="minorHAnsi"/>
    </w:rPr>
  </w:style>
  <w:style w:type="character" w:styleId="Hyperlink">
    <w:name w:val="Hyperlink"/>
    <w:uiPriority w:val="99"/>
    <w:unhideWhenUsed/>
    <w:rsid w:val="009960EE"/>
    <w:rPr>
      <w:color w:val="0000FF"/>
      <w:u w:val="single"/>
    </w:rPr>
  </w:style>
  <w:style w:type="table" w:styleId="TableGrid">
    <w:name w:val="Table Grid"/>
    <w:basedOn w:val="TableNormal"/>
    <w:uiPriority w:val="59"/>
    <w:rsid w:val="00F72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BATableStyle1">
    <w:name w:val="NBA Table Style 1"/>
    <w:basedOn w:val="TableGrid"/>
    <w:uiPriority w:val="99"/>
    <w:rsid w:val="00FA6FC5"/>
    <w:pPr>
      <w:contextualSpacing/>
    </w:pPr>
    <w:rPr>
      <w:rFonts w:ascii="Calibri" w:hAnsi="Calibri"/>
      <w:color w:val="000000" w:themeColor="text1"/>
    </w:rPr>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style>
  <w:style w:type="table" w:customStyle="1" w:styleId="NBATableStyle2">
    <w:name w:val="NBA Table Style 2"/>
    <w:basedOn w:val="NBATableStyle1"/>
    <w:uiPriority w:val="99"/>
    <w:rsid w:val="00FA6FC5"/>
    <w:tblP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center"/>
      </w:pPr>
      <w:rPr>
        <w:b/>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C00000"/>
      </w:tcPr>
    </w:tblStylePr>
    <w:tblStylePr w:type="firstCol">
      <w:rPr>
        <w:color w:val="000000" w:themeColor="text1"/>
      </w:rPr>
      <w:tblPr/>
      <w:tcPr>
        <w:shd w:val="clear" w:color="auto" w:fill="FFD5D5"/>
      </w:tcPr>
    </w:tblStylePr>
  </w:style>
  <w:style w:type="table" w:customStyle="1" w:styleId="NBATableStyle3">
    <w:name w:val="NBA Table Style 3"/>
    <w:basedOn w:val="NBATableStyle1"/>
    <w:uiPriority w:val="99"/>
    <w:rsid w:val="006C3372"/>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57" w:type="dxa"/>
        <w:right w:w="108" w:type="dxa"/>
      </w:tblCellMar>
    </w:tblPr>
    <w:tcPr>
      <w:shd w:val="clear" w:color="auto" w:fill="F2F2F2" w:themeFill="background1" w:themeFillShade="F2"/>
      <w:vAlign w:val="center"/>
    </w:tcPr>
    <w:tblStylePr w:type="firstRow">
      <w:pPr>
        <w:jc w:val="left"/>
      </w:pPr>
      <w:rPr>
        <w:b/>
        <w:color w:val="C00000"/>
      </w:rPr>
      <w:tblPr/>
      <w:tcPr>
        <w:tcBorders>
          <w:top w:val="single" w:sz="8" w:space="0" w:color="C00000"/>
          <w:left w:val="nil"/>
          <w:bottom w:val="single" w:sz="8" w:space="0" w:color="C00000"/>
          <w:right w:val="nil"/>
          <w:insideH w:val="nil"/>
          <w:insideV w:val="nil"/>
          <w:tl2br w:val="nil"/>
          <w:tr2bl w:val="nil"/>
        </w:tcBorders>
        <w:shd w:val="clear" w:color="auto" w:fill="FFFFFF" w:themeFill="background1"/>
      </w:tcPr>
    </w:tblStylePr>
    <w:tblStylePr w:type="lastRow">
      <w:rPr>
        <w:b/>
      </w:rPr>
      <w:tblPr/>
      <w:tcPr>
        <w:tcBorders>
          <w:top w:val="single" w:sz="8" w:space="0" w:color="auto"/>
          <w:left w:val="nil"/>
          <w:bottom w:val="single" w:sz="8" w:space="0" w:color="auto"/>
          <w:right w:val="nil"/>
          <w:insideH w:val="nil"/>
          <w:insideV w:val="nil"/>
          <w:tl2br w:val="nil"/>
          <w:tr2bl w:val="nil"/>
        </w:tcBorders>
        <w:shd w:val="clear" w:color="auto" w:fill="FFFFFF" w:themeFill="background1"/>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background1" w:themeFillShade="F2"/>
      </w:tcPr>
    </w:tblStylePr>
    <w:tblStylePr w:type="band2Horz">
      <w:tblPr/>
      <w:tcPr>
        <w:tcBorders>
          <w:top w:val="nil"/>
          <w:left w:val="nil"/>
          <w:bottom w:val="nil"/>
          <w:right w:val="nil"/>
          <w:insideH w:val="nil"/>
          <w:insideV w:val="nil"/>
        </w:tcBorders>
        <w:shd w:val="clear" w:color="auto" w:fill="FFFFFF" w:themeFill="background1"/>
      </w:tcPr>
    </w:tblStylePr>
  </w:style>
  <w:style w:type="paragraph" w:customStyle="1" w:styleId="QuickTip">
    <w:name w:val="Quick Tip"/>
    <w:basedOn w:val="NoSpacing"/>
    <w:qFormat/>
    <w:rsid w:val="00922E79"/>
    <w:rPr>
      <w:b/>
      <w:caps/>
      <w:color w:val="548DD4" w:themeColor="text2" w:themeTint="99"/>
    </w:rPr>
  </w:style>
  <w:style w:type="paragraph" w:styleId="NormalWeb">
    <w:name w:val="Normal (Web)"/>
    <w:basedOn w:val="Normal"/>
    <w:uiPriority w:val="99"/>
    <w:semiHidden/>
    <w:unhideWhenUsed/>
    <w:rsid w:val="002C7001"/>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A39A4"/>
    <w:rPr>
      <w:color w:val="800080" w:themeColor="followedHyperlink"/>
      <w:u w:val="single"/>
    </w:rPr>
  </w:style>
  <w:style w:type="paragraph" w:styleId="BodyText3">
    <w:name w:val="Body Text 3"/>
    <w:basedOn w:val="Normal"/>
    <w:link w:val="BodyText3Char1"/>
    <w:uiPriority w:val="99"/>
    <w:unhideWhenUsed/>
    <w:rsid w:val="003379B0"/>
    <w:pPr>
      <w:spacing w:after="120"/>
    </w:pPr>
    <w:rPr>
      <w:rFonts w:ascii="Times New Roman" w:eastAsia="Times New Roman" w:hAnsi="Times New Roman" w:cs="Times New Roman"/>
      <w:sz w:val="16"/>
      <w:szCs w:val="20"/>
      <w:lang w:eastAsia="en-AU"/>
    </w:rPr>
  </w:style>
  <w:style w:type="character" w:customStyle="1" w:styleId="BodyText3Char">
    <w:name w:val="Body Text 3 Char"/>
    <w:basedOn w:val="DefaultParagraphFont"/>
    <w:uiPriority w:val="99"/>
    <w:semiHidden/>
    <w:rsid w:val="003379B0"/>
    <w:rPr>
      <w:rFonts w:ascii="Calibri" w:hAnsi="Calibri" w:cs="Calibri"/>
      <w:sz w:val="16"/>
      <w:szCs w:val="16"/>
      <w:lang w:eastAsia="en-US"/>
    </w:rPr>
  </w:style>
  <w:style w:type="paragraph" w:customStyle="1" w:styleId="Style1">
    <w:name w:val="Style1"/>
    <w:basedOn w:val="ListBullet"/>
    <w:autoRedefine/>
    <w:uiPriority w:val="99"/>
    <w:rsid w:val="003379B0"/>
    <w:pPr>
      <w:tabs>
        <w:tab w:val="clear" w:pos="360"/>
      </w:tabs>
      <w:spacing w:after="120"/>
      <w:contextualSpacing w:val="0"/>
    </w:pPr>
    <w:rPr>
      <w:rFonts w:ascii="Arial" w:eastAsia="Times New Roman" w:hAnsi="Arial" w:cs="Times New Roman"/>
      <w:szCs w:val="20"/>
      <w:lang w:eastAsia="en-AU"/>
    </w:rPr>
  </w:style>
  <w:style w:type="paragraph" w:customStyle="1" w:styleId="Style3">
    <w:name w:val="Style3"/>
    <w:basedOn w:val="BodyText3"/>
    <w:autoRedefine/>
    <w:uiPriority w:val="99"/>
    <w:rsid w:val="003379B0"/>
    <w:rPr>
      <w:rFonts w:ascii="Arial" w:hAnsi="Arial" w:cs="Arial"/>
      <w:sz w:val="22"/>
      <w:szCs w:val="22"/>
    </w:rPr>
  </w:style>
  <w:style w:type="character" w:customStyle="1" w:styleId="BodyText3Char1">
    <w:name w:val="Body Text 3 Char1"/>
    <w:link w:val="BodyText3"/>
    <w:uiPriority w:val="99"/>
    <w:locked/>
    <w:rsid w:val="003379B0"/>
    <w:rPr>
      <w:rFonts w:ascii="Times New Roman" w:eastAsia="Times New Roman" w:hAnsi="Times New Roman" w:cs="Times New Roman"/>
      <w:sz w:val="16"/>
    </w:rPr>
  </w:style>
  <w:style w:type="paragraph" w:styleId="ListBullet">
    <w:name w:val="List Bullet"/>
    <w:basedOn w:val="Normal"/>
    <w:uiPriority w:val="99"/>
    <w:semiHidden/>
    <w:unhideWhenUsed/>
    <w:rsid w:val="003379B0"/>
    <w:pPr>
      <w:tabs>
        <w:tab w:val="num" w:pos="360"/>
      </w:tabs>
      <w:ind w:left="360" w:hanging="360"/>
      <w:contextualSpacing/>
    </w:pPr>
  </w:style>
  <w:style w:type="character" w:customStyle="1" w:styleId="CABNETParagraphAttChar">
    <w:name w:val="CABNET Paragraph Att Char"/>
    <w:basedOn w:val="DefaultParagraphFont"/>
    <w:link w:val="CABNETParagraphAtt"/>
    <w:locked/>
    <w:rsid w:val="00A94B29"/>
    <w:rPr>
      <w:rFonts w:ascii="Verdana" w:hAnsi="Verdana"/>
      <w:sz w:val="22"/>
      <w:szCs w:val="24"/>
    </w:rPr>
  </w:style>
  <w:style w:type="paragraph" w:customStyle="1" w:styleId="CABNETParagraphAtt">
    <w:name w:val="CABNET Paragraph Att"/>
    <w:basedOn w:val="Normal"/>
    <w:link w:val="CABNETParagraphAttChar"/>
    <w:qFormat/>
    <w:rsid w:val="00A94B29"/>
    <w:pPr>
      <w:spacing w:before="120" w:after="120"/>
    </w:pPr>
    <w:rPr>
      <w:rFonts w:ascii="Verdana" w:hAnsi="Verdana" w:cs="Arial"/>
      <w:szCs w:val="24"/>
      <w:lang w:eastAsia="en-AU"/>
    </w:rPr>
  </w:style>
  <w:style w:type="character" w:customStyle="1" w:styleId="ListParagraphChar">
    <w:name w:val="List Paragraph Char"/>
    <w:basedOn w:val="DefaultParagraphFont"/>
    <w:link w:val="ListParagraph"/>
    <w:locked/>
    <w:rsid w:val="00195D1B"/>
    <w:rPr>
      <w:rFonts w:ascii="Calibri" w:hAnsi="Calibri" w:cs="Calibri"/>
      <w:sz w:val="22"/>
      <w:szCs w:val="22"/>
      <w:lang w:eastAsia="en-US"/>
    </w:rPr>
  </w:style>
  <w:style w:type="paragraph" w:customStyle="1" w:styleId="Default">
    <w:name w:val="Default"/>
    <w:rsid w:val="00E954CF"/>
    <w:pPr>
      <w:autoSpaceDE w:val="0"/>
      <w:autoSpaceDN w:val="0"/>
      <w:adjustRightInd w:val="0"/>
    </w:pPr>
    <w:rPr>
      <w:color w:val="000000"/>
      <w:sz w:val="24"/>
      <w:szCs w:val="24"/>
    </w:rPr>
  </w:style>
  <w:style w:type="table" w:styleId="LightList-Accent1">
    <w:name w:val="Light List Accent 1"/>
    <w:basedOn w:val="TableNormal"/>
    <w:uiPriority w:val="61"/>
    <w:rsid w:val="00D60AE1"/>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88683D"/>
    <w:rPr>
      <w:sz w:val="16"/>
      <w:szCs w:val="16"/>
    </w:rPr>
  </w:style>
  <w:style w:type="paragraph" w:styleId="CommentText">
    <w:name w:val="annotation text"/>
    <w:basedOn w:val="Normal"/>
    <w:link w:val="CommentTextChar"/>
    <w:uiPriority w:val="99"/>
    <w:semiHidden/>
    <w:unhideWhenUsed/>
    <w:rsid w:val="0088683D"/>
    <w:rPr>
      <w:sz w:val="20"/>
      <w:szCs w:val="20"/>
    </w:rPr>
  </w:style>
  <w:style w:type="character" w:customStyle="1" w:styleId="CommentTextChar">
    <w:name w:val="Comment Text Char"/>
    <w:basedOn w:val="DefaultParagraphFont"/>
    <w:link w:val="CommentText"/>
    <w:uiPriority w:val="99"/>
    <w:semiHidden/>
    <w:rsid w:val="0088683D"/>
    <w:rPr>
      <w:rFonts w:ascii="Calibri" w:hAnsi="Calibri" w:cs="Calibri"/>
      <w:lang w:eastAsia="en-US"/>
    </w:rPr>
  </w:style>
  <w:style w:type="paragraph" w:styleId="CommentSubject">
    <w:name w:val="annotation subject"/>
    <w:basedOn w:val="CommentText"/>
    <w:next w:val="CommentText"/>
    <w:link w:val="CommentSubjectChar"/>
    <w:uiPriority w:val="99"/>
    <w:semiHidden/>
    <w:unhideWhenUsed/>
    <w:rsid w:val="0088683D"/>
    <w:rPr>
      <w:b/>
      <w:bCs/>
    </w:rPr>
  </w:style>
  <w:style w:type="character" w:customStyle="1" w:styleId="CommentSubjectChar">
    <w:name w:val="Comment Subject Char"/>
    <w:basedOn w:val="CommentTextChar"/>
    <w:link w:val="CommentSubject"/>
    <w:uiPriority w:val="99"/>
    <w:semiHidden/>
    <w:rsid w:val="0088683D"/>
    <w:rPr>
      <w:rFonts w:ascii="Calibri" w:hAnsi="Calibri" w:cs="Calibri"/>
      <w:b/>
      <w:bCs/>
      <w:lang w:eastAsia="en-US"/>
    </w:rPr>
  </w:style>
  <w:style w:type="paragraph" w:styleId="EndnoteText">
    <w:name w:val="endnote text"/>
    <w:basedOn w:val="Normal"/>
    <w:link w:val="EndnoteTextChar"/>
    <w:uiPriority w:val="99"/>
    <w:semiHidden/>
    <w:unhideWhenUsed/>
    <w:rsid w:val="00736313"/>
    <w:pPr>
      <w:spacing w:after="0"/>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uiPriority w:val="99"/>
    <w:semiHidden/>
    <w:rsid w:val="00736313"/>
    <w:rPr>
      <w:rFonts w:eastAsia="Times New Roman" w:cs="Times New Roman"/>
    </w:rPr>
  </w:style>
  <w:style w:type="character" w:styleId="EndnoteReference">
    <w:name w:val="endnote reference"/>
    <w:basedOn w:val="DefaultParagraphFont"/>
    <w:uiPriority w:val="99"/>
    <w:semiHidden/>
    <w:unhideWhenUsed/>
    <w:rsid w:val="00736313"/>
    <w:rPr>
      <w:vertAlign w:val="superscript"/>
    </w:rPr>
  </w:style>
  <w:style w:type="paragraph" w:styleId="FootnoteText">
    <w:name w:val="footnote text"/>
    <w:basedOn w:val="Normal"/>
    <w:link w:val="FootnoteTextChar"/>
    <w:uiPriority w:val="99"/>
    <w:semiHidden/>
    <w:unhideWhenUsed/>
    <w:rsid w:val="006A7540"/>
    <w:pPr>
      <w:spacing w:after="0"/>
    </w:pPr>
    <w:rPr>
      <w:sz w:val="20"/>
      <w:szCs w:val="20"/>
    </w:rPr>
  </w:style>
  <w:style w:type="character" w:customStyle="1" w:styleId="FootnoteTextChar">
    <w:name w:val="Footnote Text Char"/>
    <w:basedOn w:val="DefaultParagraphFont"/>
    <w:link w:val="FootnoteText"/>
    <w:uiPriority w:val="99"/>
    <w:semiHidden/>
    <w:rsid w:val="006A7540"/>
    <w:rPr>
      <w:rFonts w:ascii="Calibri" w:hAnsi="Calibri" w:cs="Calibri"/>
      <w:lang w:eastAsia="en-US"/>
    </w:rPr>
  </w:style>
  <w:style w:type="character" w:styleId="FootnoteReference">
    <w:name w:val="footnote reference"/>
    <w:basedOn w:val="DefaultParagraphFont"/>
    <w:uiPriority w:val="99"/>
    <w:semiHidden/>
    <w:unhideWhenUsed/>
    <w:rsid w:val="006A7540"/>
    <w:rPr>
      <w:vertAlign w:val="superscript"/>
    </w:rPr>
  </w:style>
  <w:style w:type="paragraph" w:styleId="Revision">
    <w:name w:val="Revision"/>
    <w:hidden/>
    <w:uiPriority w:val="99"/>
    <w:semiHidden/>
    <w:rsid w:val="00D512FA"/>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9370">
      <w:bodyDiv w:val="1"/>
      <w:marLeft w:val="0"/>
      <w:marRight w:val="0"/>
      <w:marTop w:val="0"/>
      <w:marBottom w:val="0"/>
      <w:divBdr>
        <w:top w:val="none" w:sz="0" w:space="0" w:color="auto"/>
        <w:left w:val="none" w:sz="0" w:space="0" w:color="auto"/>
        <w:bottom w:val="none" w:sz="0" w:space="0" w:color="auto"/>
        <w:right w:val="none" w:sz="0" w:space="0" w:color="auto"/>
      </w:divBdr>
    </w:div>
    <w:div w:id="120534450">
      <w:bodyDiv w:val="1"/>
      <w:marLeft w:val="0"/>
      <w:marRight w:val="0"/>
      <w:marTop w:val="0"/>
      <w:marBottom w:val="0"/>
      <w:divBdr>
        <w:top w:val="none" w:sz="0" w:space="0" w:color="auto"/>
        <w:left w:val="none" w:sz="0" w:space="0" w:color="auto"/>
        <w:bottom w:val="none" w:sz="0" w:space="0" w:color="auto"/>
        <w:right w:val="none" w:sz="0" w:space="0" w:color="auto"/>
      </w:divBdr>
    </w:div>
    <w:div w:id="195893975">
      <w:bodyDiv w:val="1"/>
      <w:marLeft w:val="0"/>
      <w:marRight w:val="0"/>
      <w:marTop w:val="0"/>
      <w:marBottom w:val="0"/>
      <w:divBdr>
        <w:top w:val="none" w:sz="0" w:space="0" w:color="auto"/>
        <w:left w:val="none" w:sz="0" w:space="0" w:color="auto"/>
        <w:bottom w:val="none" w:sz="0" w:space="0" w:color="auto"/>
        <w:right w:val="none" w:sz="0" w:space="0" w:color="auto"/>
      </w:divBdr>
    </w:div>
    <w:div w:id="310646007">
      <w:bodyDiv w:val="1"/>
      <w:marLeft w:val="0"/>
      <w:marRight w:val="0"/>
      <w:marTop w:val="0"/>
      <w:marBottom w:val="0"/>
      <w:divBdr>
        <w:top w:val="none" w:sz="0" w:space="0" w:color="auto"/>
        <w:left w:val="none" w:sz="0" w:space="0" w:color="auto"/>
        <w:bottom w:val="none" w:sz="0" w:space="0" w:color="auto"/>
        <w:right w:val="none" w:sz="0" w:space="0" w:color="auto"/>
      </w:divBdr>
      <w:divsChild>
        <w:div w:id="1409228649">
          <w:marLeft w:val="0"/>
          <w:marRight w:val="0"/>
          <w:marTop w:val="0"/>
          <w:marBottom w:val="0"/>
          <w:divBdr>
            <w:top w:val="none" w:sz="0" w:space="0" w:color="auto"/>
            <w:left w:val="none" w:sz="0" w:space="0" w:color="auto"/>
            <w:bottom w:val="none" w:sz="0" w:space="0" w:color="auto"/>
            <w:right w:val="none" w:sz="0" w:space="0" w:color="auto"/>
          </w:divBdr>
        </w:div>
      </w:divsChild>
    </w:div>
    <w:div w:id="372849657">
      <w:bodyDiv w:val="1"/>
      <w:marLeft w:val="0"/>
      <w:marRight w:val="0"/>
      <w:marTop w:val="0"/>
      <w:marBottom w:val="0"/>
      <w:divBdr>
        <w:top w:val="none" w:sz="0" w:space="0" w:color="auto"/>
        <w:left w:val="none" w:sz="0" w:space="0" w:color="auto"/>
        <w:bottom w:val="none" w:sz="0" w:space="0" w:color="auto"/>
        <w:right w:val="none" w:sz="0" w:space="0" w:color="auto"/>
      </w:divBdr>
    </w:div>
    <w:div w:id="490222581">
      <w:bodyDiv w:val="1"/>
      <w:marLeft w:val="0"/>
      <w:marRight w:val="0"/>
      <w:marTop w:val="0"/>
      <w:marBottom w:val="0"/>
      <w:divBdr>
        <w:top w:val="none" w:sz="0" w:space="0" w:color="auto"/>
        <w:left w:val="none" w:sz="0" w:space="0" w:color="auto"/>
        <w:bottom w:val="none" w:sz="0" w:space="0" w:color="auto"/>
        <w:right w:val="none" w:sz="0" w:space="0" w:color="auto"/>
      </w:divBdr>
      <w:divsChild>
        <w:div w:id="359284314">
          <w:marLeft w:val="0"/>
          <w:marRight w:val="0"/>
          <w:marTop w:val="0"/>
          <w:marBottom w:val="0"/>
          <w:divBdr>
            <w:top w:val="none" w:sz="0" w:space="0" w:color="auto"/>
            <w:left w:val="none" w:sz="0" w:space="0" w:color="auto"/>
            <w:bottom w:val="none" w:sz="0" w:space="0" w:color="auto"/>
            <w:right w:val="none" w:sz="0" w:space="0" w:color="auto"/>
          </w:divBdr>
        </w:div>
      </w:divsChild>
    </w:div>
    <w:div w:id="709493133">
      <w:bodyDiv w:val="1"/>
      <w:marLeft w:val="0"/>
      <w:marRight w:val="0"/>
      <w:marTop w:val="0"/>
      <w:marBottom w:val="0"/>
      <w:divBdr>
        <w:top w:val="none" w:sz="0" w:space="0" w:color="auto"/>
        <w:left w:val="none" w:sz="0" w:space="0" w:color="auto"/>
        <w:bottom w:val="none" w:sz="0" w:space="0" w:color="auto"/>
        <w:right w:val="none" w:sz="0" w:space="0" w:color="auto"/>
      </w:divBdr>
    </w:div>
    <w:div w:id="710691690">
      <w:bodyDiv w:val="1"/>
      <w:marLeft w:val="0"/>
      <w:marRight w:val="0"/>
      <w:marTop w:val="0"/>
      <w:marBottom w:val="0"/>
      <w:divBdr>
        <w:top w:val="none" w:sz="0" w:space="0" w:color="auto"/>
        <w:left w:val="none" w:sz="0" w:space="0" w:color="auto"/>
        <w:bottom w:val="none" w:sz="0" w:space="0" w:color="auto"/>
        <w:right w:val="none" w:sz="0" w:space="0" w:color="auto"/>
      </w:divBdr>
    </w:div>
    <w:div w:id="809515689">
      <w:bodyDiv w:val="1"/>
      <w:marLeft w:val="0"/>
      <w:marRight w:val="0"/>
      <w:marTop w:val="0"/>
      <w:marBottom w:val="0"/>
      <w:divBdr>
        <w:top w:val="none" w:sz="0" w:space="0" w:color="auto"/>
        <w:left w:val="none" w:sz="0" w:space="0" w:color="auto"/>
        <w:bottom w:val="none" w:sz="0" w:space="0" w:color="auto"/>
        <w:right w:val="none" w:sz="0" w:space="0" w:color="auto"/>
      </w:divBdr>
    </w:div>
    <w:div w:id="1367870108">
      <w:bodyDiv w:val="1"/>
      <w:marLeft w:val="0"/>
      <w:marRight w:val="0"/>
      <w:marTop w:val="0"/>
      <w:marBottom w:val="0"/>
      <w:divBdr>
        <w:top w:val="none" w:sz="0" w:space="0" w:color="auto"/>
        <w:left w:val="none" w:sz="0" w:space="0" w:color="auto"/>
        <w:bottom w:val="none" w:sz="0" w:space="0" w:color="auto"/>
        <w:right w:val="none" w:sz="0" w:space="0" w:color="auto"/>
      </w:divBdr>
    </w:div>
    <w:div w:id="1622225450">
      <w:bodyDiv w:val="1"/>
      <w:marLeft w:val="0"/>
      <w:marRight w:val="0"/>
      <w:marTop w:val="0"/>
      <w:marBottom w:val="0"/>
      <w:divBdr>
        <w:top w:val="none" w:sz="0" w:space="0" w:color="auto"/>
        <w:left w:val="none" w:sz="0" w:space="0" w:color="auto"/>
        <w:bottom w:val="none" w:sz="0" w:space="0" w:color="auto"/>
        <w:right w:val="none" w:sz="0" w:space="0" w:color="auto"/>
      </w:divBdr>
    </w:div>
    <w:div w:id="1709257486">
      <w:bodyDiv w:val="1"/>
      <w:marLeft w:val="0"/>
      <w:marRight w:val="0"/>
      <w:marTop w:val="0"/>
      <w:marBottom w:val="0"/>
      <w:divBdr>
        <w:top w:val="none" w:sz="0" w:space="0" w:color="auto"/>
        <w:left w:val="none" w:sz="0" w:space="0" w:color="auto"/>
        <w:bottom w:val="none" w:sz="0" w:space="0" w:color="auto"/>
        <w:right w:val="none" w:sz="0" w:space="0" w:color="auto"/>
      </w:divBdr>
    </w:div>
    <w:div w:id="1811627616">
      <w:bodyDiv w:val="1"/>
      <w:marLeft w:val="0"/>
      <w:marRight w:val="0"/>
      <w:marTop w:val="0"/>
      <w:marBottom w:val="0"/>
      <w:divBdr>
        <w:top w:val="none" w:sz="0" w:space="0" w:color="auto"/>
        <w:left w:val="none" w:sz="0" w:space="0" w:color="auto"/>
        <w:bottom w:val="none" w:sz="0" w:space="0" w:color="auto"/>
        <w:right w:val="none" w:sz="0" w:space="0" w:color="auto"/>
      </w:divBdr>
    </w:div>
    <w:div w:id="2034072428">
      <w:bodyDiv w:val="1"/>
      <w:marLeft w:val="0"/>
      <w:marRight w:val="0"/>
      <w:marTop w:val="0"/>
      <w:marBottom w:val="0"/>
      <w:divBdr>
        <w:top w:val="none" w:sz="0" w:space="0" w:color="auto"/>
        <w:left w:val="none" w:sz="0" w:space="0" w:color="auto"/>
        <w:bottom w:val="none" w:sz="0" w:space="0" w:color="auto"/>
        <w:right w:val="none" w:sz="0" w:space="0" w:color="auto"/>
      </w:divBdr>
    </w:div>
    <w:div w:id="2084180876">
      <w:bodyDiv w:val="1"/>
      <w:marLeft w:val="0"/>
      <w:marRight w:val="0"/>
      <w:marTop w:val="0"/>
      <w:marBottom w:val="0"/>
      <w:divBdr>
        <w:top w:val="none" w:sz="0" w:space="0" w:color="auto"/>
        <w:left w:val="none" w:sz="0" w:space="0" w:color="auto"/>
        <w:bottom w:val="none" w:sz="0" w:space="0" w:color="auto"/>
        <w:right w:val="none" w:sz="0" w:space="0" w:color="auto"/>
      </w:divBdr>
      <w:divsChild>
        <w:div w:id="744838754">
          <w:marLeft w:val="0"/>
          <w:marRight w:val="0"/>
          <w:marTop w:val="0"/>
          <w:marBottom w:val="0"/>
          <w:divBdr>
            <w:top w:val="none" w:sz="0" w:space="0" w:color="auto"/>
            <w:left w:val="none" w:sz="0" w:space="0" w:color="auto"/>
            <w:bottom w:val="none" w:sz="0" w:space="0" w:color="auto"/>
            <w:right w:val="none" w:sz="0" w:space="0" w:color="auto"/>
          </w:divBdr>
          <w:divsChild>
            <w:div w:id="1101992018">
              <w:marLeft w:val="0"/>
              <w:marRight w:val="0"/>
              <w:marTop w:val="0"/>
              <w:marBottom w:val="0"/>
              <w:divBdr>
                <w:top w:val="none" w:sz="0" w:space="0" w:color="auto"/>
                <w:left w:val="none" w:sz="0" w:space="0" w:color="auto"/>
                <w:bottom w:val="none" w:sz="0" w:space="0" w:color="auto"/>
                <w:right w:val="none" w:sz="0" w:space="0" w:color="auto"/>
              </w:divBdr>
              <w:divsChild>
                <w:div w:id="1394815732">
                  <w:marLeft w:val="0"/>
                  <w:marRight w:val="0"/>
                  <w:marTop w:val="0"/>
                  <w:marBottom w:val="0"/>
                  <w:divBdr>
                    <w:top w:val="none" w:sz="0" w:space="0" w:color="auto"/>
                    <w:left w:val="none" w:sz="0" w:space="0" w:color="auto"/>
                    <w:bottom w:val="none" w:sz="0" w:space="0" w:color="auto"/>
                    <w:right w:val="none" w:sz="0" w:space="0" w:color="auto"/>
                  </w:divBdr>
                  <w:divsChild>
                    <w:div w:id="14010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ood.gov.au/patient-blood-management"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85640AB8-8BD5-4477-AEEC-5E86F557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10398</Words>
  <Characters>63017</Characters>
  <Application>Microsoft Office Word</Application>
  <DocSecurity>0</DocSecurity>
  <Lines>1432</Lines>
  <Paragraphs>649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72766</CharactersWithSpaces>
  <SharedDoc>false</SharedDoc>
  <HLinks>
    <vt:vector size="24" baseType="variant">
      <vt:variant>
        <vt:i4>1769522</vt:i4>
      </vt:variant>
      <vt:variant>
        <vt:i4>20</vt:i4>
      </vt:variant>
      <vt:variant>
        <vt:i4>0</vt:i4>
      </vt:variant>
      <vt:variant>
        <vt:i4>5</vt:i4>
      </vt:variant>
      <vt:variant>
        <vt:lpwstr/>
      </vt:variant>
      <vt:variant>
        <vt:lpwstr>_Toc337046293</vt:lpwstr>
      </vt:variant>
      <vt:variant>
        <vt:i4>1769522</vt:i4>
      </vt:variant>
      <vt:variant>
        <vt:i4>14</vt:i4>
      </vt:variant>
      <vt:variant>
        <vt:i4>0</vt:i4>
      </vt:variant>
      <vt:variant>
        <vt:i4>5</vt:i4>
      </vt:variant>
      <vt:variant>
        <vt:lpwstr/>
      </vt:variant>
      <vt:variant>
        <vt:lpwstr>_Toc337046292</vt:lpwstr>
      </vt:variant>
      <vt:variant>
        <vt:i4>1769522</vt:i4>
      </vt:variant>
      <vt:variant>
        <vt:i4>8</vt:i4>
      </vt:variant>
      <vt:variant>
        <vt:i4>0</vt:i4>
      </vt:variant>
      <vt:variant>
        <vt:i4>5</vt:i4>
      </vt:variant>
      <vt:variant>
        <vt:lpwstr/>
      </vt:variant>
      <vt:variant>
        <vt:lpwstr>_Toc337046291</vt:lpwstr>
      </vt:variant>
      <vt:variant>
        <vt:i4>1769522</vt:i4>
      </vt:variant>
      <vt:variant>
        <vt:i4>2</vt:i4>
      </vt:variant>
      <vt:variant>
        <vt:i4>0</vt:i4>
      </vt:variant>
      <vt:variant>
        <vt:i4>5</vt:i4>
      </vt:variant>
      <vt:variant>
        <vt:lpwstr/>
      </vt:variant>
      <vt:variant>
        <vt:lpwstr>_Toc337046290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Roberts</dc:creator>
  <cp:lastModifiedBy>Rosi, Luisa</cp:lastModifiedBy>
  <cp:revision>3</cp:revision>
  <cp:lastPrinted>2013-08-18T23:56:00Z</cp:lastPrinted>
  <dcterms:created xsi:type="dcterms:W3CDTF">2013-12-10T05:41:00Z</dcterms:created>
  <dcterms:modified xsi:type="dcterms:W3CDTF">2013-12-10T05:42:00Z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y fmtid="{D5CDD505-2E9C-101B-9397-08002B2CF9AE}" pid="3" name="Mendeley Document_1">
    <vt:lpwstr>True</vt:lpwstr>
  </property>
  <property fmtid="{D5CDD505-2E9C-101B-9397-08002B2CF9AE}" pid="4" name="Mendeley User Name_1">
    <vt:lpwstr>sandra.russell@nba.gov.au@www.mendeley.com</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http://www.zotero.org/styles/apsa</vt:lpwstr>
  </property>
  <property fmtid="{D5CDD505-2E9C-101B-9397-08002B2CF9AE}" pid="7" name="Mendeley Recent Style Name 0_1">
    <vt:lpwstr>American Political Science Association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6th Edition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(author-date)</vt:lpwstr>
  </property>
  <property fmtid="{D5CDD505-2E9C-101B-9397-08002B2CF9AE}" pid="12" name="Mendeley Recent Style Id 3_1">
    <vt:lpwstr>http://www.zotero.org/styles/chicago-fullnote-bibliography</vt:lpwstr>
  </property>
  <property fmtid="{D5CDD505-2E9C-101B-9397-08002B2CF9AE}" pid="13" name="Mendeley Recent Style Name 3_1">
    <vt:lpwstr>Chicago Manual of Style (full note)</vt:lpwstr>
  </property>
  <property fmtid="{D5CDD505-2E9C-101B-9397-08002B2CF9AE}" pid="14" name="Mendeley Recent Style Id 4_1">
    <vt:lpwstr>http://www.zotero.org/styles/chicago-note-bibliography</vt:lpwstr>
  </property>
  <property fmtid="{D5CDD505-2E9C-101B-9397-08002B2CF9AE}" pid="15" name="Mendeley Recent Style Name 4_1">
    <vt:lpwstr>Chicago Manual of Style (note)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(author-date)</vt:lpwstr>
  </property>
  <property fmtid="{D5CDD505-2E9C-101B-9397-08002B2CF9AE}" pid="18" name="Mendeley Recent Style Id 6_1">
    <vt:lpwstr>http://www.zotero.org/styles/mhra</vt:lpwstr>
  </property>
  <property fmtid="{D5CDD505-2E9C-101B-9397-08002B2CF9AE}" pid="19" name="Mendeley Recent Style Name 6_1">
    <vt:lpwstr>Modern Humanities Research Association (note with bibliography)</vt:lpwstr>
  </property>
  <property fmtid="{D5CDD505-2E9C-101B-9397-08002B2CF9AE}" pid="20" name="Mendeley Recent Style Id 7_1">
    <vt:lpwstr>http://www.zotero.org/styles/vancouver</vt:lpwstr>
  </property>
  <property fmtid="{D5CDD505-2E9C-101B-9397-08002B2CF9AE}" pid="21" name="Mendeley Recent Style Name 7_1">
    <vt:lpwstr>Vancouver</vt:lpwstr>
  </property>
  <property fmtid="{D5CDD505-2E9C-101B-9397-08002B2CF9AE}" pid="22" name="Mendeley Recent Style Id 8_1">
    <vt:lpwstr>http://www.zotero.org/styles/vancouver-brackets</vt:lpwstr>
  </property>
  <property fmtid="{D5CDD505-2E9C-101B-9397-08002B2CF9AE}" pid="23" name="Mendeley Recent Style Name 8_1">
    <vt:lpwstr>Vancouver (brackets)</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ies>
</file>