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CB2" w:rsidRDefault="00C25A45" w:rsidP="00C25A45">
      <w:pPr>
        <w:pStyle w:val="Heading1"/>
        <w:spacing w:before="840" w:after="0"/>
      </w:pPr>
      <w:bookmarkStart w:id="0" w:name="_Public_Interest_Disclosure"/>
      <w:bookmarkStart w:id="1" w:name="_GoBack"/>
      <w:bookmarkEnd w:id="0"/>
      <w:bookmarkEnd w:id="1"/>
      <w:r>
        <w:t xml:space="preserve">Public Interest Disclosure </w:t>
      </w:r>
    </w:p>
    <w:p w:rsidR="007B5184" w:rsidRDefault="00C25A45" w:rsidP="007B5184">
      <w:pPr>
        <w:spacing w:after="0"/>
        <w:rPr>
          <w:rFonts w:asciiTheme="minorHAnsi" w:hAnsiTheme="minorHAnsi" w:cstheme="minorHAnsi"/>
          <w:sz w:val="24"/>
          <w:szCs w:val="24"/>
        </w:rPr>
      </w:pPr>
      <w:r>
        <w:rPr>
          <w:noProof/>
          <w:lang w:eastAsia="en-AU"/>
        </w:rPr>
        <w:drawing>
          <wp:anchor distT="0" distB="0" distL="114300" distR="114300" simplePos="0" relativeHeight="251658240" behindDoc="0" locked="0" layoutInCell="1" allowOverlap="1" wp14:anchorId="503F2526" wp14:editId="21810D21">
            <wp:simplePos x="0" y="0"/>
            <wp:positionH relativeFrom="column">
              <wp:posOffset>4410075</wp:posOffset>
            </wp:positionH>
            <wp:positionV relativeFrom="paragraph">
              <wp:posOffset>-3175</wp:posOffset>
            </wp:positionV>
            <wp:extent cx="1504315" cy="619125"/>
            <wp:effectExtent l="0" t="0" r="635" b="9525"/>
            <wp:wrapSquare wrapText="bothSides"/>
            <wp:docPr id="1" name="Picture 1" descr="http://www.ombudsman.gov.au/images/pid/PID_icon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mbudsman.gov.au/images/pid/PID_icon_l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315" cy="6191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 w:name="_top"/>
      <w:bookmarkStart w:id="3" w:name="_Toc204662450"/>
      <w:bookmarkStart w:id="4" w:name="_Toc215398451"/>
      <w:bookmarkStart w:id="5" w:name="_Toc275414986"/>
      <w:bookmarkEnd w:id="2"/>
      <w:bookmarkEnd w:id="3"/>
      <w:bookmarkEnd w:id="4"/>
      <w:bookmarkEnd w:id="5"/>
    </w:p>
    <w:p w:rsidR="00AF4FAD" w:rsidRDefault="00AF4FAD" w:rsidP="004A53D5">
      <w:pPr>
        <w:pStyle w:val="Heading3"/>
        <w:rPr>
          <w:rFonts w:asciiTheme="minorHAnsi" w:hAnsiTheme="minorHAnsi" w:cstheme="minorHAnsi"/>
          <w:color w:val="auto"/>
          <w:sz w:val="24"/>
          <w:szCs w:val="24"/>
        </w:rPr>
      </w:pPr>
      <w:r w:rsidRPr="00AF4FAD">
        <w:rPr>
          <w:rFonts w:asciiTheme="minorHAnsi" w:hAnsiTheme="minorHAnsi" w:cstheme="minorHAnsi"/>
          <w:color w:val="auto"/>
          <w:sz w:val="24"/>
          <w:szCs w:val="24"/>
        </w:rPr>
        <w:t xml:space="preserve">This page contains information on the </w:t>
      </w:r>
      <w:hyperlink r:id="rId10" w:history="1">
        <w:r w:rsidRPr="007B5184">
          <w:rPr>
            <w:rStyle w:val="Hyperlink"/>
            <w:rFonts w:asciiTheme="minorHAnsi" w:hAnsiTheme="minorHAnsi" w:cstheme="minorHAnsi"/>
            <w:i/>
            <w:sz w:val="24"/>
            <w:szCs w:val="24"/>
          </w:rPr>
          <w:t xml:space="preserve">Public Interest Disclosure Act 2013 </w:t>
        </w:r>
        <w:r w:rsidR="007B5184" w:rsidRPr="007B5184">
          <w:rPr>
            <w:rStyle w:val="Hyperlink"/>
            <w:rFonts w:asciiTheme="minorHAnsi" w:hAnsiTheme="minorHAnsi" w:cstheme="minorHAnsi"/>
            <w:sz w:val="24"/>
            <w:szCs w:val="24"/>
          </w:rPr>
          <w:t>(Cth)</w:t>
        </w:r>
      </w:hyperlink>
      <w:r w:rsidR="007B5184">
        <w:rPr>
          <w:rFonts w:asciiTheme="minorHAnsi" w:hAnsiTheme="minorHAnsi" w:cstheme="minorHAnsi"/>
          <w:color w:val="auto"/>
          <w:sz w:val="24"/>
          <w:szCs w:val="24"/>
        </w:rPr>
        <w:t xml:space="preserve"> (‘PID Act’) which commenced on 15 January 2014.</w:t>
      </w:r>
    </w:p>
    <w:p w:rsidR="007B5184" w:rsidRDefault="007B5184" w:rsidP="007B5184"/>
    <w:p w:rsidR="007B5184" w:rsidRPr="007B5184" w:rsidRDefault="006B1ABF" w:rsidP="00036B9A">
      <w:pPr>
        <w:pStyle w:val="ListParagraph"/>
        <w:numPr>
          <w:ilvl w:val="0"/>
          <w:numId w:val="13"/>
        </w:numPr>
      </w:pPr>
      <w:hyperlink w:anchor="_Background_to_the" w:history="1">
        <w:r w:rsidR="007B5184" w:rsidRPr="003C597A">
          <w:rPr>
            <w:rStyle w:val="Hyperlink"/>
          </w:rPr>
          <w:t>Background to the PID Act</w:t>
        </w:r>
      </w:hyperlink>
    </w:p>
    <w:p w:rsidR="007B5184" w:rsidRPr="009C3806" w:rsidRDefault="006B1ABF" w:rsidP="00036B9A">
      <w:pPr>
        <w:pStyle w:val="ListParagraph"/>
        <w:numPr>
          <w:ilvl w:val="0"/>
          <w:numId w:val="13"/>
        </w:numPr>
      </w:pPr>
      <w:hyperlink w:anchor="_Who_can_make" w:history="1">
        <w:r w:rsidR="007B5184" w:rsidRPr="003C597A">
          <w:rPr>
            <w:rStyle w:val="Hyperlink"/>
          </w:rPr>
          <w:t xml:space="preserve">Who can make a disclosure? </w:t>
        </w:r>
      </w:hyperlink>
      <w:r w:rsidR="007B5184" w:rsidRPr="009C3806">
        <w:t xml:space="preserve"> </w:t>
      </w:r>
    </w:p>
    <w:p w:rsidR="007B5184" w:rsidRPr="009C3806" w:rsidRDefault="006B1ABF" w:rsidP="00036B9A">
      <w:pPr>
        <w:pStyle w:val="ListParagraph"/>
        <w:numPr>
          <w:ilvl w:val="0"/>
          <w:numId w:val="13"/>
        </w:numPr>
      </w:pPr>
      <w:hyperlink w:anchor="_Who_is_subject" w:history="1">
        <w:r w:rsidR="007B5184" w:rsidRPr="003C597A">
          <w:rPr>
            <w:rStyle w:val="Hyperlink"/>
          </w:rPr>
          <w:t>Who is subject to the PID Act?</w:t>
        </w:r>
      </w:hyperlink>
    </w:p>
    <w:p w:rsidR="007B5184" w:rsidRPr="009C3806" w:rsidRDefault="006B1ABF" w:rsidP="00036B9A">
      <w:pPr>
        <w:pStyle w:val="ListParagraph"/>
        <w:numPr>
          <w:ilvl w:val="0"/>
          <w:numId w:val="13"/>
        </w:numPr>
      </w:pPr>
      <w:hyperlink w:anchor="_Types_of_wrongdoing" w:history="1">
        <w:r w:rsidR="007B5184" w:rsidRPr="003C597A">
          <w:rPr>
            <w:rStyle w:val="Hyperlink"/>
          </w:rPr>
          <w:t>Types of wrongdoing that can be disclosed</w:t>
        </w:r>
      </w:hyperlink>
      <w:r w:rsidR="007B5184" w:rsidRPr="009C3806">
        <w:t xml:space="preserve"> </w:t>
      </w:r>
    </w:p>
    <w:p w:rsidR="007B5184" w:rsidRPr="009C3806" w:rsidRDefault="006B1ABF" w:rsidP="00036B9A">
      <w:pPr>
        <w:pStyle w:val="ListParagraph"/>
        <w:numPr>
          <w:ilvl w:val="0"/>
          <w:numId w:val="13"/>
        </w:numPr>
      </w:pPr>
      <w:hyperlink w:anchor="_Types_of_conduct" w:history="1">
        <w:r w:rsidR="007B5184" w:rsidRPr="003C597A">
          <w:rPr>
            <w:rStyle w:val="Hyperlink"/>
          </w:rPr>
          <w:t>Types of conduct that is not disclosable</w:t>
        </w:r>
      </w:hyperlink>
      <w:r w:rsidR="007B5184" w:rsidRPr="009C3806">
        <w:t xml:space="preserve"> </w:t>
      </w:r>
    </w:p>
    <w:p w:rsidR="00FC6D94" w:rsidRPr="00FC6D94" w:rsidRDefault="00FC6D94" w:rsidP="003C597A">
      <w:pPr>
        <w:pStyle w:val="ListParagraph"/>
        <w:numPr>
          <w:ilvl w:val="0"/>
          <w:numId w:val="13"/>
        </w:numPr>
        <w:rPr>
          <w:rStyle w:val="Hyperlink"/>
          <w:color w:val="auto"/>
          <w:u w:val="none"/>
        </w:rPr>
      </w:pPr>
      <w:r>
        <w:fldChar w:fldCharType="begin"/>
      </w:r>
      <w:r>
        <w:instrText xml:space="preserve"> HYPERLINK \l "_How_to_make" </w:instrText>
      </w:r>
      <w:r>
        <w:fldChar w:fldCharType="separate"/>
      </w:r>
      <w:r w:rsidR="003C597A" w:rsidRPr="003C597A">
        <w:rPr>
          <w:rStyle w:val="Hyperlink"/>
        </w:rPr>
        <w:t xml:space="preserve">How to make a disclosure and be protected by the </w:t>
      </w:r>
      <w:proofErr w:type="spellStart"/>
      <w:r w:rsidR="003C597A" w:rsidRPr="003C597A">
        <w:rPr>
          <w:rStyle w:val="Hyperlink"/>
        </w:rPr>
        <w:t>PID</w:t>
      </w:r>
      <w:proofErr w:type="spellEnd"/>
      <w:r w:rsidR="003C597A" w:rsidRPr="003C597A">
        <w:rPr>
          <w:rStyle w:val="Hyperlink"/>
        </w:rPr>
        <w:t xml:space="preserve"> Act</w:t>
      </w:r>
      <w:r>
        <w:rPr>
          <w:rStyle w:val="Hyperlink"/>
        </w:rPr>
        <w:t xml:space="preserve"> </w:t>
      </w:r>
    </w:p>
    <w:p w:rsidR="00036B9A" w:rsidRDefault="00036B9A" w:rsidP="003C597A">
      <w:pPr>
        <w:pStyle w:val="ListParagraph"/>
        <w:numPr>
          <w:ilvl w:val="0"/>
          <w:numId w:val="13"/>
        </w:numPr>
      </w:pPr>
      <w:r w:rsidRPr="003C597A">
        <w:rPr>
          <w:rStyle w:val="Hyperlink"/>
        </w:rPr>
        <w:t>How is a person who makes a disclosure protected?</w:t>
      </w:r>
      <w:r w:rsidR="00FC6D94">
        <w:rPr>
          <w:rStyle w:val="Hyperlink"/>
        </w:rPr>
        <w:fldChar w:fldCharType="end"/>
      </w:r>
    </w:p>
    <w:p w:rsidR="003C597A" w:rsidRPr="009C3806" w:rsidRDefault="006B1ABF" w:rsidP="003C597A">
      <w:pPr>
        <w:pStyle w:val="ListParagraph"/>
        <w:numPr>
          <w:ilvl w:val="0"/>
          <w:numId w:val="13"/>
        </w:numPr>
      </w:pPr>
      <w:hyperlink w:anchor="_What_protections_are" w:history="1">
        <w:r w:rsidR="003C597A" w:rsidRPr="003C597A">
          <w:rPr>
            <w:rStyle w:val="Hyperlink"/>
          </w:rPr>
          <w:t>What protections are available under the PID Act?</w:t>
        </w:r>
      </w:hyperlink>
    </w:p>
    <w:p w:rsidR="00036B9A" w:rsidRDefault="006B1ABF" w:rsidP="00036B9A">
      <w:pPr>
        <w:pStyle w:val="ListParagraph"/>
        <w:numPr>
          <w:ilvl w:val="0"/>
          <w:numId w:val="13"/>
        </w:numPr>
      </w:pPr>
      <w:hyperlink w:anchor="_Contact_information_for" w:history="1">
        <w:r w:rsidR="00036B9A" w:rsidRPr="003C597A">
          <w:rPr>
            <w:rStyle w:val="Hyperlink"/>
          </w:rPr>
          <w:t>Contact information for Authorised Officers</w:t>
        </w:r>
      </w:hyperlink>
      <w:r w:rsidR="00036B9A" w:rsidRPr="009C3806">
        <w:t xml:space="preserve"> </w:t>
      </w:r>
    </w:p>
    <w:p w:rsidR="003C597A" w:rsidRDefault="006B1ABF" w:rsidP="00036B9A">
      <w:pPr>
        <w:pStyle w:val="ListParagraph"/>
        <w:numPr>
          <w:ilvl w:val="0"/>
          <w:numId w:val="13"/>
        </w:numPr>
      </w:pPr>
      <w:hyperlink w:anchor="_Further_information" w:history="1">
        <w:r w:rsidR="003C597A" w:rsidRPr="003C597A">
          <w:rPr>
            <w:rStyle w:val="Hyperlink"/>
          </w:rPr>
          <w:t>Further Information</w:t>
        </w:r>
      </w:hyperlink>
    </w:p>
    <w:p w:rsidR="007B5184" w:rsidRDefault="007B5184" w:rsidP="004A53D5">
      <w:pPr>
        <w:pStyle w:val="Heading3"/>
      </w:pPr>
    </w:p>
    <w:p w:rsidR="004A53D5" w:rsidRDefault="007B5184" w:rsidP="004A53D5">
      <w:pPr>
        <w:pStyle w:val="Heading3"/>
      </w:pPr>
      <w:bookmarkStart w:id="6" w:name="_Background_to_the"/>
      <w:bookmarkEnd w:id="6"/>
      <w:r>
        <w:t>Background to the PID Act</w:t>
      </w:r>
    </w:p>
    <w:p w:rsidR="004A53D5" w:rsidRDefault="004A53D5" w:rsidP="004A53D5">
      <w:r>
        <w:t xml:space="preserve">Before the </w:t>
      </w:r>
      <w:r w:rsidR="00234E89">
        <w:t>PID Act</w:t>
      </w:r>
      <w:r>
        <w:t xml:space="preserve"> came into existence the Commonwealth was the only jurisdiction in Australia that did not have legislation dedicated to facilitating ‘whistleblowing’ and to protecting those that make such disclosures. </w:t>
      </w:r>
      <w:r w:rsidR="00AF4FAD">
        <w:t>T</w:t>
      </w:r>
      <w:r w:rsidR="00AF4FAD" w:rsidRPr="00AF4FAD">
        <w:t xml:space="preserve">he </w:t>
      </w:r>
      <w:r w:rsidR="007B5184">
        <w:t xml:space="preserve">PID Act </w:t>
      </w:r>
      <w:r>
        <w:t xml:space="preserve">recognises the importance of exposing wrongdoing in the public sector.  It provides broad protections for people that make reports of serious wrongdoing, provides legal remedies if those individuals suffer reprisals as a result of those reports and creates a standardised framework for how </w:t>
      </w:r>
      <w:r w:rsidR="009B0A94">
        <w:t>this type of disclosure</w:t>
      </w:r>
      <w:r>
        <w:t xml:space="preserve"> must be handled</w:t>
      </w:r>
      <w:r w:rsidR="00811DBB">
        <w:t>, investigated and reported on</w:t>
      </w:r>
      <w:r>
        <w:t>.</w:t>
      </w:r>
    </w:p>
    <w:p w:rsidR="004476BE" w:rsidRPr="004A53D5" w:rsidRDefault="006B1ABF" w:rsidP="004A53D5">
      <w:hyperlink w:anchor="_Public_Interest_Disclosure" w:history="1">
        <w:r w:rsidR="004476BE" w:rsidRPr="004476BE">
          <w:rPr>
            <w:rStyle w:val="Hyperlink"/>
          </w:rPr>
          <w:t>Back to top</w:t>
        </w:r>
      </w:hyperlink>
    </w:p>
    <w:p w:rsidR="00C25A45" w:rsidRPr="009C3806" w:rsidRDefault="00E92141" w:rsidP="00811DBB">
      <w:pPr>
        <w:pStyle w:val="Heading3"/>
      </w:pPr>
      <w:bookmarkStart w:id="7" w:name="_Who_can_make"/>
      <w:bookmarkEnd w:id="7"/>
      <w:r w:rsidRPr="009C3806">
        <w:t>Who can make a disclosure</w:t>
      </w:r>
      <w:r w:rsidR="00200F7C" w:rsidRPr="009C3806">
        <w:t xml:space="preserve">? </w:t>
      </w:r>
      <w:r w:rsidR="00C25A45" w:rsidRPr="009C3806">
        <w:t xml:space="preserve"> </w:t>
      </w:r>
    </w:p>
    <w:p w:rsidR="00014291" w:rsidRDefault="00200F7C" w:rsidP="002C5C5C">
      <w:pPr>
        <w:rPr>
          <w:rFonts w:asciiTheme="minorHAnsi" w:hAnsiTheme="minorHAnsi" w:cstheme="minorHAnsi"/>
        </w:rPr>
      </w:pPr>
      <w:r w:rsidRPr="009C3806">
        <w:rPr>
          <w:rFonts w:asciiTheme="minorHAnsi" w:hAnsiTheme="minorHAnsi" w:cstheme="minorHAnsi"/>
        </w:rPr>
        <w:t xml:space="preserve">A current or former public official can make disclosures under the PID Act. </w:t>
      </w:r>
      <w:r w:rsidR="004D0B2E" w:rsidRPr="009C3806">
        <w:rPr>
          <w:rFonts w:asciiTheme="minorHAnsi" w:hAnsiTheme="minorHAnsi" w:cstheme="minorHAnsi"/>
        </w:rPr>
        <w:t xml:space="preserve">The term ‘public official’ </w:t>
      </w:r>
      <w:r w:rsidRPr="009C3806">
        <w:rPr>
          <w:rFonts w:asciiTheme="minorHAnsi" w:hAnsiTheme="minorHAnsi" w:cstheme="minorHAnsi"/>
        </w:rPr>
        <w:t xml:space="preserve">is quite broad and includes </w:t>
      </w:r>
      <w:r w:rsidR="00014291">
        <w:rPr>
          <w:rFonts w:asciiTheme="minorHAnsi" w:hAnsiTheme="minorHAnsi" w:cstheme="minorHAnsi"/>
        </w:rPr>
        <w:t xml:space="preserve">current and former APS employees, parliamentary service employees, members of the Defence Force, staff and directors of Commonwealth companies, statutory office holders and staff of </w:t>
      </w:r>
      <w:r w:rsidRPr="009C3806">
        <w:rPr>
          <w:rFonts w:asciiTheme="minorHAnsi" w:hAnsiTheme="minorHAnsi" w:cstheme="minorHAnsi"/>
        </w:rPr>
        <w:t xml:space="preserve">Commonwealth contracted service providers. </w:t>
      </w:r>
    </w:p>
    <w:p w:rsidR="00AF57EA" w:rsidRDefault="00200F7C" w:rsidP="002C5C5C">
      <w:pPr>
        <w:rPr>
          <w:rFonts w:asciiTheme="minorHAnsi" w:hAnsiTheme="minorHAnsi" w:cstheme="minorHAnsi"/>
        </w:rPr>
      </w:pPr>
      <w:r w:rsidRPr="009C3806">
        <w:rPr>
          <w:rFonts w:asciiTheme="minorHAnsi" w:hAnsiTheme="minorHAnsi" w:cstheme="minorHAnsi"/>
        </w:rPr>
        <w:t>A person can</w:t>
      </w:r>
      <w:r w:rsidR="00014291">
        <w:rPr>
          <w:rFonts w:asciiTheme="minorHAnsi" w:hAnsiTheme="minorHAnsi" w:cstheme="minorHAnsi"/>
        </w:rPr>
        <w:t xml:space="preserve"> also</w:t>
      </w:r>
      <w:r w:rsidRPr="009C3806">
        <w:rPr>
          <w:rFonts w:asciiTheme="minorHAnsi" w:hAnsiTheme="minorHAnsi" w:cstheme="minorHAnsi"/>
        </w:rPr>
        <w:t xml:space="preserve"> be deemed to be a </w:t>
      </w:r>
      <w:r w:rsidR="004D0B2E" w:rsidRPr="009C3806">
        <w:rPr>
          <w:rFonts w:asciiTheme="minorHAnsi" w:hAnsiTheme="minorHAnsi" w:cstheme="minorHAnsi"/>
        </w:rPr>
        <w:t>‘</w:t>
      </w:r>
      <w:r w:rsidRPr="009C3806">
        <w:rPr>
          <w:rFonts w:asciiTheme="minorHAnsi" w:hAnsiTheme="minorHAnsi" w:cstheme="minorHAnsi"/>
        </w:rPr>
        <w:t>public official</w:t>
      </w:r>
      <w:r w:rsidR="004D0B2E" w:rsidRPr="009C3806">
        <w:rPr>
          <w:rFonts w:asciiTheme="minorHAnsi" w:hAnsiTheme="minorHAnsi" w:cstheme="minorHAnsi"/>
        </w:rPr>
        <w:t>’</w:t>
      </w:r>
      <w:r w:rsidRPr="009C3806">
        <w:rPr>
          <w:rFonts w:asciiTheme="minorHAnsi" w:hAnsiTheme="minorHAnsi" w:cstheme="minorHAnsi"/>
        </w:rPr>
        <w:t xml:space="preserve"> by an authorised officer </w:t>
      </w:r>
      <w:r w:rsidR="007B5184">
        <w:rPr>
          <w:rFonts w:asciiTheme="minorHAnsi" w:hAnsiTheme="minorHAnsi" w:cstheme="minorHAnsi"/>
        </w:rPr>
        <w:t xml:space="preserve">of the NBA (or other agency) </w:t>
      </w:r>
      <w:r w:rsidRPr="009C3806">
        <w:rPr>
          <w:rFonts w:asciiTheme="minorHAnsi" w:hAnsiTheme="minorHAnsi" w:cstheme="minorHAnsi"/>
        </w:rPr>
        <w:t>who believes on reasonable grounds that the individual has information that concerns disclosable</w:t>
      </w:r>
      <w:r w:rsidR="009C6DE0" w:rsidRPr="009C3806">
        <w:rPr>
          <w:rFonts w:asciiTheme="minorHAnsi" w:hAnsiTheme="minorHAnsi" w:cstheme="minorHAnsi"/>
        </w:rPr>
        <w:t xml:space="preserve"> conduct under the PID Act (</w:t>
      </w:r>
      <w:r w:rsidRPr="009C3806">
        <w:rPr>
          <w:rFonts w:asciiTheme="minorHAnsi" w:hAnsiTheme="minorHAnsi" w:cstheme="minorHAnsi"/>
        </w:rPr>
        <w:t>s</w:t>
      </w:r>
      <w:r w:rsidR="002E3A67" w:rsidRPr="009C3806">
        <w:rPr>
          <w:rFonts w:asciiTheme="minorHAnsi" w:hAnsiTheme="minorHAnsi" w:cstheme="minorHAnsi"/>
        </w:rPr>
        <w:t>ection</w:t>
      </w:r>
      <w:r w:rsidRPr="009C3806">
        <w:rPr>
          <w:rFonts w:asciiTheme="minorHAnsi" w:hAnsiTheme="minorHAnsi" w:cstheme="minorHAnsi"/>
        </w:rPr>
        <w:t xml:space="preserve"> 70). </w:t>
      </w:r>
    </w:p>
    <w:p w:rsidR="004476BE" w:rsidRPr="004A53D5" w:rsidRDefault="006B1ABF" w:rsidP="004476BE">
      <w:hyperlink w:anchor="_Public_Interest_Disclosure" w:history="1">
        <w:r w:rsidR="004476BE" w:rsidRPr="004476BE">
          <w:rPr>
            <w:rStyle w:val="Hyperlink"/>
          </w:rPr>
          <w:t>Back to top</w:t>
        </w:r>
      </w:hyperlink>
    </w:p>
    <w:p w:rsidR="00AF57EA" w:rsidRPr="009C3806" w:rsidRDefault="00AF57EA" w:rsidP="00811DBB">
      <w:pPr>
        <w:pStyle w:val="Heading3"/>
      </w:pPr>
      <w:bookmarkStart w:id="8" w:name="_Who_is_subject"/>
      <w:bookmarkEnd w:id="8"/>
      <w:r w:rsidRPr="009C3806">
        <w:t>Who is subject to the PID Act?</w:t>
      </w:r>
    </w:p>
    <w:p w:rsidR="00AF57EA" w:rsidRDefault="005A57DF" w:rsidP="005A57DF">
      <w:pPr>
        <w:rPr>
          <w:rFonts w:asciiTheme="minorHAnsi" w:hAnsiTheme="minorHAnsi" w:cstheme="minorHAnsi"/>
        </w:rPr>
      </w:pPr>
      <w:r w:rsidRPr="005A57DF">
        <w:rPr>
          <w:rFonts w:asciiTheme="minorHAnsi" w:hAnsiTheme="minorHAnsi" w:cstheme="minorHAnsi"/>
        </w:rPr>
        <w:t>Disclosures may be made</w:t>
      </w:r>
      <w:r>
        <w:rPr>
          <w:rFonts w:asciiTheme="minorHAnsi" w:hAnsiTheme="minorHAnsi" w:cstheme="minorHAnsi"/>
        </w:rPr>
        <w:t xml:space="preserve"> about suspected wrongdoing </w:t>
      </w:r>
      <w:r w:rsidRPr="005A57DF">
        <w:rPr>
          <w:rFonts w:asciiTheme="minorHAnsi" w:hAnsiTheme="minorHAnsi" w:cstheme="minorHAnsi"/>
        </w:rPr>
        <w:t>in Australian Govern</w:t>
      </w:r>
      <w:r>
        <w:rPr>
          <w:rFonts w:asciiTheme="minorHAnsi" w:hAnsiTheme="minorHAnsi" w:cstheme="minorHAnsi"/>
        </w:rPr>
        <w:t xml:space="preserve">ment departments, executive and </w:t>
      </w:r>
      <w:r w:rsidRPr="005A57DF">
        <w:rPr>
          <w:rFonts w:asciiTheme="minorHAnsi" w:hAnsiTheme="minorHAnsi" w:cstheme="minorHAnsi"/>
        </w:rPr>
        <w:t xml:space="preserve">statutory agencies, </w:t>
      </w:r>
      <w:r>
        <w:rPr>
          <w:rFonts w:asciiTheme="minorHAnsi" w:hAnsiTheme="minorHAnsi" w:cstheme="minorHAnsi"/>
        </w:rPr>
        <w:t>as well as</w:t>
      </w:r>
      <w:r w:rsidRPr="005A57DF">
        <w:rPr>
          <w:rFonts w:asciiTheme="minorHAnsi" w:hAnsiTheme="minorHAnsi" w:cstheme="minorHAnsi"/>
        </w:rPr>
        <w:t xml:space="preserve"> a w</w:t>
      </w:r>
      <w:r>
        <w:rPr>
          <w:rFonts w:asciiTheme="minorHAnsi" w:hAnsiTheme="minorHAnsi" w:cstheme="minorHAnsi"/>
        </w:rPr>
        <w:t xml:space="preserve">ide range of other entities and </w:t>
      </w:r>
      <w:r w:rsidRPr="005A57DF">
        <w:rPr>
          <w:rFonts w:asciiTheme="minorHAnsi" w:hAnsiTheme="minorHAnsi" w:cstheme="minorHAnsi"/>
        </w:rPr>
        <w:t xml:space="preserve">office holders associated </w:t>
      </w:r>
      <w:r>
        <w:rPr>
          <w:rFonts w:asciiTheme="minorHAnsi" w:hAnsiTheme="minorHAnsi" w:cstheme="minorHAnsi"/>
        </w:rPr>
        <w:t xml:space="preserve">with the Australian Government. </w:t>
      </w:r>
      <w:r w:rsidRPr="005A57DF">
        <w:rPr>
          <w:rFonts w:asciiTheme="minorHAnsi" w:hAnsiTheme="minorHAnsi" w:cstheme="minorHAnsi"/>
        </w:rPr>
        <w:t>These include Commonwe</w:t>
      </w:r>
      <w:r>
        <w:rPr>
          <w:rFonts w:asciiTheme="minorHAnsi" w:hAnsiTheme="minorHAnsi" w:cstheme="minorHAnsi"/>
        </w:rPr>
        <w:t xml:space="preserve">alth companies and authorities, </w:t>
      </w:r>
      <w:r w:rsidRPr="005A57DF">
        <w:rPr>
          <w:rFonts w:asciiTheme="minorHAnsi" w:hAnsiTheme="minorHAnsi" w:cstheme="minorHAnsi"/>
        </w:rPr>
        <w:t>courts, statutory office hol</w:t>
      </w:r>
      <w:r>
        <w:rPr>
          <w:rFonts w:asciiTheme="minorHAnsi" w:hAnsiTheme="minorHAnsi" w:cstheme="minorHAnsi"/>
        </w:rPr>
        <w:t xml:space="preserve">ders and providers of goods and </w:t>
      </w:r>
      <w:r w:rsidRPr="005A57DF">
        <w:rPr>
          <w:rFonts w:asciiTheme="minorHAnsi" w:hAnsiTheme="minorHAnsi" w:cstheme="minorHAnsi"/>
        </w:rPr>
        <w:t>services under contract to the Commonwealth.</w:t>
      </w:r>
    </w:p>
    <w:p w:rsidR="004476BE" w:rsidRPr="004A53D5" w:rsidRDefault="006B1ABF" w:rsidP="004476BE">
      <w:hyperlink w:anchor="_Public_Interest_Disclosure" w:history="1">
        <w:r w:rsidR="004476BE" w:rsidRPr="004476BE">
          <w:rPr>
            <w:rStyle w:val="Hyperlink"/>
          </w:rPr>
          <w:t>Back to top</w:t>
        </w:r>
      </w:hyperlink>
    </w:p>
    <w:p w:rsidR="004476BE" w:rsidRPr="004476BE" w:rsidRDefault="004476BE" w:rsidP="005A57DF">
      <w:pPr>
        <w:rPr>
          <w:rFonts w:asciiTheme="minorHAnsi" w:hAnsiTheme="minorHAnsi" w:cstheme="minorHAnsi"/>
          <w:b/>
        </w:rPr>
      </w:pPr>
    </w:p>
    <w:p w:rsidR="00C25A45" w:rsidRPr="009C3806" w:rsidRDefault="00C25A45" w:rsidP="00811DBB">
      <w:pPr>
        <w:pStyle w:val="Heading3"/>
      </w:pPr>
      <w:bookmarkStart w:id="9" w:name="_Types_of_wrongdoing"/>
      <w:bookmarkEnd w:id="9"/>
      <w:r w:rsidRPr="009C3806">
        <w:t>Type</w:t>
      </w:r>
      <w:r w:rsidR="00306F61" w:rsidRPr="009C3806">
        <w:t xml:space="preserve">s of wrongdoing that can be disclosed </w:t>
      </w:r>
    </w:p>
    <w:p w:rsidR="00200F7C" w:rsidRPr="009C3806" w:rsidRDefault="00200F7C" w:rsidP="002C5C5C">
      <w:pPr>
        <w:rPr>
          <w:rFonts w:asciiTheme="minorHAnsi" w:hAnsiTheme="minorHAnsi" w:cstheme="minorHAnsi"/>
        </w:rPr>
      </w:pPr>
      <w:r w:rsidRPr="009C3806">
        <w:rPr>
          <w:rFonts w:asciiTheme="minorHAnsi" w:hAnsiTheme="minorHAnsi" w:cstheme="minorHAnsi"/>
        </w:rPr>
        <w:t>A public official can disclose conduct by an agency, public official or a contracted Commonwealth service provider (in connection with the Commonwealth contract) that</w:t>
      </w:r>
      <w:r w:rsidR="004D0B2E" w:rsidRPr="009C3806">
        <w:rPr>
          <w:rFonts w:asciiTheme="minorHAnsi" w:hAnsiTheme="minorHAnsi" w:cstheme="minorHAnsi"/>
        </w:rPr>
        <w:t xml:space="preserve"> they believe</w:t>
      </w:r>
      <w:r w:rsidR="005A57DF">
        <w:rPr>
          <w:rFonts w:asciiTheme="minorHAnsi" w:hAnsiTheme="minorHAnsi" w:cstheme="minorHAnsi"/>
        </w:rPr>
        <w:t xml:space="preserve"> on reasonable grounds</w:t>
      </w:r>
      <w:r w:rsidRPr="009C3806">
        <w:rPr>
          <w:rFonts w:asciiTheme="minorHAnsi" w:hAnsiTheme="minorHAnsi" w:cstheme="minorHAnsi"/>
        </w:rPr>
        <w:t>:</w:t>
      </w:r>
    </w:p>
    <w:p w:rsidR="00200F7C" w:rsidRPr="009C3806" w:rsidRDefault="00AD76DF" w:rsidP="00234E89">
      <w:pPr>
        <w:pStyle w:val="ListParagraph"/>
        <w:numPr>
          <w:ilvl w:val="0"/>
          <w:numId w:val="14"/>
        </w:numPr>
        <w:rPr>
          <w:rFonts w:asciiTheme="minorHAnsi" w:hAnsiTheme="minorHAnsi" w:cstheme="minorHAnsi"/>
        </w:rPr>
      </w:pPr>
      <w:r>
        <w:rPr>
          <w:rFonts w:asciiTheme="minorHAnsi" w:hAnsiTheme="minorHAnsi" w:cstheme="minorHAnsi"/>
        </w:rPr>
        <w:t>c</w:t>
      </w:r>
      <w:r w:rsidR="00200F7C" w:rsidRPr="009C3806">
        <w:rPr>
          <w:rFonts w:asciiTheme="minorHAnsi" w:hAnsiTheme="minorHAnsi" w:cstheme="minorHAnsi"/>
        </w:rPr>
        <w:t>ontravenes the law;</w:t>
      </w:r>
    </w:p>
    <w:p w:rsidR="00200F7C" w:rsidRPr="009C3806" w:rsidRDefault="00AD76DF" w:rsidP="00234E89">
      <w:pPr>
        <w:pStyle w:val="ListParagraph"/>
        <w:numPr>
          <w:ilvl w:val="0"/>
          <w:numId w:val="14"/>
        </w:numPr>
        <w:rPr>
          <w:rFonts w:asciiTheme="minorHAnsi" w:hAnsiTheme="minorHAnsi" w:cstheme="minorHAnsi"/>
        </w:rPr>
      </w:pPr>
      <w:r>
        <w:rPr>
          <w:rFonts w:asciiTheme="minorHAnsi" w:hAnsiTheme="minorHAnsi" w:cstheme="minorHAnsi"/>
        </w:rPr>
        <w:t>i</w:t>
      </w:r>
      <w:r w:rsidR="00200F7C" w:rsidRPr="009C3806">
        <w:rPr>
          <w:rFonts w:asciiTheme="minorHAnsi" w:hAnsiTheme="minorHAnsi" w:cstheme="minorHAnsi"/>
        </w:rPr>
        <w:t>s corrupt;</w:t>
      </w:r>
    </w:p>
    <w:p w:rsidR="00200F7C" w:rsidRPr="009C3806" w:rsidRDefault="00AD76DF" w:rsidP="00234E89">
      <w:pPr>
        <w:pStyle w:val="ListParagraph"/>
        <w:numPr>
          <w:ilvl w:val="0"/>
          <w:numId w:val="14"/>
        </w:numPr>
        <w:rPr>
          <w:rFonts w:asciiTheme="minorHAnsi" w:hAnsiTheme="minorHAnsi" w:cstheme="minorHAnsi"/>
        </w:rPr>
      </w:pPr>
      <w:r>
        <w:rPr>
          <w:rFonts w:asciiTheme="minorHAnsi" w:hAnsiTheme="minorHAnsi" w:cstheme="minorHAnsi"/>
        </w:rPr>
        <w:t>p</w:t>
      </w:r>
      <w:r w:rsidR="00200F7C" w:rsidRPr="009C3806">
        <w:rPr>
          <w:rFonts w:asciiTheme="minorHAnsi" w:hAnsiTheme="minorHAnsi" w:cstheme="minorHAnsi"/>
        </w:rPr>
        <w:t>erverts the course of justice;</w:t>
      </w:r>
    </w:p>
    <w:p w:rsidR="00200F7C" w:rsidRPr="009C3806" w:rsidRDefault="00AD76DF" w:rsidP="00234E89">
      <w:pPr>
        <w:pStyle w:val="ListParagraph"/>
        <w:numPr>
          <w:ilvl w:val="0"/>
          <w:numId w:val="14"/>
        </w:numPr>
        <w:rPr>
          <w:rFonts w:asciiTheme="minorHAnsi" w:hAnsiTheme="minorHAnsi" w:cstheme="minorHAnsi"/>
        </w:rPr>
      </w:pPr>
      <w:r>
        <w:rPr>
          <w:rFonts w:asciiTheme="minorHAnsi" w:hAnsiTheme="minorHAnsi" w:cstheme="minorHAnsi"/>
        </w:rPr>
        <w:t>r</w:t>
      </w:r>
      <w:r w:rsidR="00200F7C" w:rsidRPr="009C3806">
        <w:rPr>
          <w:rFonts w:asciiTheme="minorHAnsi" w:hAnsiTheme="minorHAnsi" w:cstheme="minorHAnsi"/>
        </w:rPr>
        <w:t>esults in the wastage of public funds or property;</w:t>
      </w:r>
    </w:p>
    <w:p w:rsidR="00200F7C" w:rsidRPr="009C3806" w:rsidRDefault="00AD76DF" w:rsidP="00234E89">
      <w:pPr>
        <w:pStyle w:val="ListParagraph"/>
        <w:numPr>
          <w:ilvl w:val="0"/>
          <w:numId w:val="14"/>
        </w:numPr>
        <w:rPr>
          <w:rFonts w:asciiTheme="minorHAnsi" w:hAnsiTheme="minorHAnsi" w:cstheme="minorHAnsi"/>
        </w:rPr>
      </w:pPr>
      <w:r>
        <w:rPr>
          <w:rFonts w:asciiTheme="minorHAnsi" w:hAnsiTheme="minorHAnsi" w:cstheme="minorHAnsi"/>
        </w:rPr>
        <w:t>i</w:t>
      </w:r>
      <w:r w:rsidR="00200F7C" w:rsidRPr="009C3806">
        <w:rPr>
          <w:rFonts w:asciiTheme="minorHAnsi" w:hAnsiTheme="minorHAnsi" w:cstheme="minorHAnsi"/>
        </w:rPr>
        <w:t>s an abuse of the public interest;</w:t>
      </w:r>
    </w:p>
    <w:p w:rsidR="00200F7C" w:rsidRPr="009C3806" w:rsidRDefault="00AD76DF" w:rsidP="00234E89">
      <w:pPr>
        <w:pStyle w:val="ListParagraph"/>
        <w:numPr>
          <w:ilvl w:val="0"/>
          <w:numId w:val="14"/>
        </w:numPr>
        <w:rPr>
          <w:rFonts w:asciiTheme="minorHAnsi" w:hAnsiTheme="minorHAnsi" w:cstheme="minorHAnsi"/>
        </w:rPr>
      </w:pPr>
      <w:r>
        <w:rPr>
          <w:rFonts w:asciiTheme="minorHAnsi" w:hAnsiTheme="minorHAnsi" w:cstheme="minorHAnsi"/>
        </w:rPr>
        <w:t>u</w:t>
      </w:r>
      <w:r w:rsidR="00200F7C" w:rsidRPr="009C3806">
        <w:rPr>
          <w:rFonts w:asciiTheme="minorHAnsi" w:hAnsiTheme="minorHAnsi" w:cstheme="minorHAnsi"/>
        </w:rPr>
        <w:t>nreasonably endangers health and safety or endangers the environment;</w:t>
      </w:r>
    </w:p>
    <w:p w:rsidR="00200F7C" w:rsidRPr="009C3806" w:rsidRDefault="00AD76DF" w:rsidP="00234E89">
      <w:pPr>
        <w:pStyle w:val="ListParagraph"/>
        <w:numPr>
          <w:ilvl w:val="0"/>
          <w:numId w:val="14"/>
        </w:numPr>
        <w:rPr>
          <w:rFonts w:asciiTheme="minorHAnsi" w:hAnsiTheme="minorHAnsi" w:cstheme="minorHAnsi"/>
        </w:rPr>
      </w:pPr>
      <w:r>
        <w:rPr>
          <w:rFonts w:asciiTheme="minorHAnsi" w:hAnsiTheme="minorHAnsi" w:cstheme="minorHAnsi"/>
        </w:rPr>
        <w:t>i</w:t>
      </w:r>
      <w:r w:rsidR="00200F7C" w:rsidRPr="009C3806">
        <w:rPr>
          <w:rFonts w:asciiTheme="minorHAnsi" w:hAnsiTheme="minorHAnsi" w:cstheme="minorHAnsi"/>
        </w:rPr>
        <w:t>s misconduct relating to scientific research, analysis or advice;</w:t>
      </w:r>
    </w:p>
    <w:p w:rsidR="00200F7C" w:rsidRDefault="00AD76DF" w:rsidP="00234E89">
      <w:pPr>
        <w:pStyle w:val="ListParagraph"/>
        <w:numPr>
          <w:ilvl w:val="0"/>
          <w:numId w:val="14"/>
        </w:numPr>
        <w:rPr>
          <w:rFonts w:asciiTheme="minorHAnsi" w:hAnsiTheme="minorHAnsi" w:cstheme="minorHAnsi"/>
        </w:rPr>
      </w:pPr>
      <w:proofErr w:type="gramStart"/>
      <w:r>
        <w:rPr>
          <w:rFonts w:asciiTheme="minorHAnsi" w:hAnsiTheme="minorHAnsi" w:cstheme="minorHAnsi"/>
        </w:rPr>
        <w:t>i</w:t>
      </w:r>
      <w:r w:rsidR="00200F7C" w:rsidRPr="009C3806">
        <w:rPr>
          <w:rFonts w:asciiTheme="minorHAnsi" w:hAnsiTheme="minorHAnsi" w:cstheme="minorHAnsi"/>
        </w:rPr>
        <w:t>s</w:t>
      </w:r>
      <w:proofErr w:type="gramEnd"/>
      <w:r w:rsidR="00200F7C" w:rsidRPr="009C3806">
        <w:rPr>
          <w:rFonts w:asciiTheme="minorHAnsi" w:hAnsiTheme="minorHAnsi" w:cstheme="minorHAnsi"/>
        </w:rPr>
        <w:t xml:space="preserve"> maladministration including conduct that is unjust, oppressive or negligent.</w:t>
      </w:r>
    </w:p>
    <w:p w:rsidR="004476BE" w:rsidRPr="004A53D5" w:rsidRDefault="006B1ABF" w:rsidP="004476BE">
      <w:hyperlink w:anchor="_Public_Interest_Disclosure" w:history="1">
        <w:r w:rsidR="004476BE" w:rsidRPr="004476BE">
          <w:rPr>
            <w:rStyle w:val="Hyperlink"/>
          </w:rPr>
          <w:t>Back to top</w:t>
        </w:r>
      </w:hyperlink>
    </w:p>
    <w:p w:rsidR="004476BE" w:rsidRPr="004476BE" w:rsidRDefault="004476BE" w:rsidP="004476BE">
      <w:pPr>
        <w:rPr>
          <w:rFonts w:asciiTheme="minorHAnsi" w:hAnsiTheme="minorHAnsi" w:cstheme="minorHAnsi"/>
        </w:rPr>
      </w:pPr>
    </w:p>
    <w:p w:rsidR="00DE5C1A" w:rsidRPr="009C3806" w:rsidRDefault="00524359" w:rsidP="00811DBB">
      <w:pPr>
        <w:pStyle w:val="Heading3"/>
      </w:pPr>
      <w:bookmarkStart w:id="10" w:name="_Types_of_conduct"/>
      <w:bookmarkEnd w:id="10"/>
      <w:r w:rsidRPr="009C3806">
        <w:t xml:space="preserve">Types of conduct that is not disclosable </w:t>
      </w:r>
    </w:p>
    <w:p w:rsidR="004D2470" w:rsidRPr="009C3806" w:rsidRDefault="004D2470" w:rsidP="002C5C5C">
      <w:pPr>
        <w:rPr>
          <w:rFonts w:asciiTheme="minorHAnsi" w:hAnsiTheme="minorHAnsi" w:cstheme="minorHAnsi"/>
        </w:rPr>
      </w:pPr>
      <w:r w:rsidRPr="009C3806">
        <w:rPr>
          <w:rFonts w:asciiTheme="minorHAnsi" w:hAnsiTheme="minorHAnsi" w:cstheme="minorHAnsi"/>
        </w:rPr>
        <w:t xml:space="preserve">Sections 31, 32 and 33 of the PID Act specify </w:t>
      </w:r>
      <w:r w:rsidR="009B0A94">
        <w:rPr>
          <w:rFonts w:asciiTheme="minorHAnsi" w:hAnsiTheme="minorHAnsi" w:cstheme="minorHAnsi"/>
        </w:rPr>
        <w:t>conduct that does not fall under the Act. This includes where</w:t>
      </w:r>
      <w:r w:rsidR="004D0B2E" w:rsidRPr="009C3806">
        <w:rPr>
          <w:rFonts w:asciiTheme="minorHAnsi" w:hAnsiTheme="minorHAnsi" w:cstheme="minorHAnsi"/>
        </w:rPr>
        <w:t>:</w:t>
      </w:r>
    </w:p>
    <w:p w:rsidR="004D2470" w:rsidRPr="009C3806" w:rsidRDefault="00AD76DF" w:rsidP="00234E89">
      <w:pPr>
        <w:pStyle w:val="ListParagraph"/>
        <w:numPr>
          <w:ilvl w:val="0"/>
          <w:numId w:val="15"/>
        </w:numPr>
        <w:rPr>
          <w:rFonts w:asciiTheme="minorHAnsi" w:hAnsiTheme="minorHAnsi" w:cstheme="minorHAnsi"/>
        </w:rPr>
      </w:pPr>
      <w:r>
        <w:rPr>
          <w:rFonts w:asciiTheme="minorHAnsi" w:hAnsiTheme="minorHAnsi" w:cstheme="minorHAnsi"/>
        </w:rPr>
        <w:t>a</w:t>
      </w:r>
      <w:r w:rsidR="004D2470" w:rsidRPr="009C3806">
        <w:rPr>
          <w:rFonts w:asciiTheme="minorHAnsi" w:hAnsiTheme="minorHAnsi" w:cstheme="minorHAnsi"/>
        </w:rPr>
        <w:t xml:space="preserve"> person disagrees with government policies</w:t>
      </w:r>
      <w:r w:rsidR="004D0B2E" w:rsidRPr="009C3806">
        <w:rPr>
          <w:rFonts w:asciiTheme="minorHAnsi" w:hAnsiTheme="minorHAnsi" w:cstheme="minorHAnsi"/>
        </w:rPr>
        <w:t>;</w:t>
      </w:r>
    </w:p>
    <w:p w:rsidR="00265A79" w:rsidRPr="009C3806" w:rsidRDefault="00AD76DF" w:rsidP="00234E89">
      <w:pPr>
        <w:pStyle w:val="ListParagraph"/>
        <w:numPr>
          <w:ilvl w:val="0"/>
          <w:numId w:val="15"/>
        </w:numPr>
        <w:rPr>
          <w:rFonts w:asciiTheme="minorHAnsi" w:hAnsiTheme="minorHAnsi" w:cstheme="minorHAnsi"/>
        </w:rPr>
      </w:pPr>
      <w:r>
        <w:rPr>
          <w:rFonts w:asciiTheme="minorHAnsi" w:hAnsiTheme="minorHAnsi" w:cstheme="minorHAnsi"/>
        </w:rPr>
        <w:t>t</w:t>
      </w:r>
      <w:r w:rsidR="00265A79" w:rsidRPr="009C3806">
        <w:rPr>
          <w:rFonts w:asciiTheme="minorHAnsi" w:hAnsiTheme="minorHAnsi" w:cstheme="minorHAnsi"/>
        </w:rPr>
        <w:t xml:space="preserve">he conduct </w:t>
      </w:r>
      <w:r w:rsidR="009B0A94">
        <w:rPr>
          <w:rFonts w:asciiTheme="minorHAnsi" w:hAnsiTheme="minorHAnsi" w:cstheme="minorHAnsi"/>
        </w:rPr>
        <w:t>concerns</w:t>
      </w:r>
      <w:r w:rsidR="00265A79" w:rsidRPr="009C3806">
        <w:rPr>
          <w:rFonts w:asciiTheme="minorHAnsi" w:hAnsiTheme="minorHAnsi" w:cstheme="minorHAnsi"/>
        </w:rPr>
        <w:t xml:space="preserve"> members of Parliament </w:t>
      </w:r>
      <w:r w:rsidR="009B0A94">
        <w:rPr>
          <w:rFonts w:asciiTheme="minorHAnsi" w:hAnsiTheme="minorHAnsi" w:cstheme="minorHAnsi"/>
        </w:rPr>
        <w:t>whom are</w:t>
      </w:r>
      <w:r w:rsidR="00265A79" w:rsidRPr="009C3806">
        <w:rPr>
          <w:rFonts w:asciiTheme="minorHAnsi" w:hAnsiTheme="minorHAnsi" w:cstheme="minorHAnsi"/>
        </w:rPr>
        <w:t xml:space="preserve"> </w:t>
      </w:r>
      <w:r w:rsidR="009B0A94">
        <w:rPr>
          <w:rFonts w:asciiTheme="minorHAnsi" w:hAnsiTheme="minorHAnsi" w:cstheme="minorHAnsi"/>
        </w:rPr>
        <w:t xml:space="preserve">not </w:t>
      </w:r>
      <w:r w:rsidR="00265A79" w:rsidRPr="009C3806">
        <w:rPr>
          <w:rFonts w:asciiTheme="minorHAnsi" w:hAnsiTheme="minorHAnsi" w:cstheme="minorHAnsi"/>
        </w:rPr>
        <w:t>covered by the PID Act. However, the departments of the Parliament and their employees are covered</w:t>
      </w:r>
      <w:r w:rsidR="004D0B2E" w:rsidRPr="009C3806">
        <w:rPr>
          <w:rFonts w:asciiTheme="minorHAnsi" w:hAnsiTheme="minorHAnsi" w:cstheme="minorHAnsi"/>
        </w:rPr>
        <w:t>;</w:t>
      </w:r>
    </w:p>
    <w:p w:rsidR="004D2470" w:rsidRPr="009C3806" w:rsidRDefault="00AD76DF" w:rsidP="00234E89">
      <w:pPr>
        <w:pStyle w:val="ListParagraph"/>
        <w:numPr>
          <w:ilvl w:val="0"/>
          <w:numId w:val="15"/>
        </w:numPr>
        <w:rPr>
          <w:rFonts w:asciiTheme="minorHAnsi" w:hAnsiTheme="minorHAnsi" w:cstheme="minorHAnsi"/>
        </w:rPr>
      </w:pPr>
      <w:r>
        <w:rPr>
          <w:rFonts w:asciiTheme="minorHAnsi" w:hAnsiTheme="minorHAnsi" w:cstheme="minorHAnsi"/>
        </w:rPr>
        <w:t>c</w:t>
      </w:r>
      <w:r w:rsidR="004D2470" w:rsidRPr="009C3806">
        <w:rPr>
          <w:rFonts w:asciiTheme="minorHAnsi" w:hAnsiTheme="minorHAnsi" w:cstheme="minorHAnsi"/>
        </w:rPr>
        <w:t xml:space="preserve">onduct connected with courts or Commonwealth tribunals </w:t>
      </w:r>
      <w:r w:rsidR="004D0B2E" w:rsidRPr="009C3806">
        <w:rPr>
          <w:rFonts w:asciiTheme="minorHAnsi" w:hAnsiTheme="minorHAnsi" w:cstheme="minorHAnsi"/>
        </w:rPr>
        <w:t>; and,</w:t>
      </w:r>
    </w:p>
    <w:p w:rsidR="004D2470" w:rsidRDefault="00AD76DF" w:rsidP="00234E89">
      <w:pPr>
        <w:pStyle w:val="ListParagraph"/>
        <w:numPr>
          <w:ilvl w:val="0"/>
          <w:numId w:val="15"/>
        </w:numPr>
        <w:rPr>
          <w:rFonts w:asciiTheme="minorHAnsi" w:hAnsiTheme="minorHAnsi" w:cstheme="minorHAnsi"/>
        </w:rPr>
      </w:pPr>
      <w:proofErr w:type="gramStart"/>
      <w:r>
        <w:rPr>
          <w:rFonts w:asciiTheme="minorHAnsi" w:hAnsiTheme="minorHAnsi" w:cstheme="minorHAnsi"/>
        </w:rPr>
        <w:t>c</w:t>
      </w:r>
      <w:r w:rsidR="004D2470" w:rsidRPr="009C3806">
        <w:rPr>
          <w:rFonts w:asciiTheme="minorHAnsi" w:hAnsiTheme="minorHAnsi" w:cstheme="minorHAnsi"/>
        </w:rPr>
        <w:t>onduct</w:t>
      </w:r>
      <w:proofErr w:type="gramEnd"/>
      <w:r w:rsidR="004D2470" w:rsidRPr="009C3806">
        <w:rPr>
          <w:rFonts w:asciiTheme="minorHAnsi" w:hAnsiTheme="minorHAnsi" w:cstheme="minorHAnsi"/>
        </w:rPr>
        <w:t xml:space="preserve"> connected with intelligence agencies</w:t>
      </w:r>
      <w:r w:rsidR="004D0B2E" w:rsidRPr="009C3806">
        <w:rPr>
          <w:rFonts w:asciiTheme="minorHAnsi" w:hAnsiTheme="minorHAnsi" w:cstheme="minorHAnsi"/>
        </w:rPr>
        <w:t>.</w:t>
      </w:r>
    </w:p>
    <w:p w:rsidR="004476BE" w:rsidRPr="004A53D5" w:rsidRDefault="006B1ABF" w:rsidP="004476BE">
      <w:hyperlink w:anchor="_Public_Interest_Disclosure" w:history="1">
        <w:r w:rsidR="004476BE" w:rsidRPr="004476BE">
          <w:rPr>
            <w:rStyle w:val="Hyperlink"/>
          </w:rPr>
          <w:t>Back to top</w:t>
        </w:r>
      </w:hyperlink>
    </w:p>
    <w:p w:rsidR="004476BE" w:rsidRPr="004476BE" w:rsidRDefault="004476BE" w:rsidP="004476BE">
      <w:pPr>
        <w:rPr>
          <w:rFonts w:asciiTheme="minorHAnsi" w:hAnsiTheme="minorHAnsi" w:cstheme="minorHAnsi"/>
        </w:rPr>
      </w:pPr>
    </w:p>
    <w:p w:rsidR="00FA579D" w:rsidRDefault="003C597A" w:rsidP="007B5184">
      <w:pPr>
        <w:pStyle w:val="Heading3"/>
      </w:pPr>
      <w:bookmarkStart w:id="11" w:name="_How_to_make"/>
      <w:bookmarkEnd w:id="11"/>
      <w:r>
        <w:t>How to make a disclosure</w:t>
      </w:r>
      <w:r w:rsidR="00FA579D">
        <w:t xml:space="preserve"> </w:t>
      </w:r>
      <w:r>
        <w:t>and be</w:t>
      </w:r>
      <w:r w:rsidR="00FA579D">
        <w:t xml:space="preserve"> protected by the PID Act</w:t>
      </w:r>
    </w:p>
    <w:p w:rsidR="003C597A" w:rsidRPr="009C3806" w:rsidRDefault="003C597A" w:rsidP="003C597A">
      <w:pPr>
        <w:rPr>
          <w:rFonts w:asciiTheme="minorHAnsi" w:hAnsiTheme="minorHAnsi" w:cstheme="minorHAnsi"/>
        </w:rPr>
      </w:pPr>
      <w:r>
        <w:rPr>
          <w:rFonts w:asciiTheme="minorHAnsi" w:hAnsiTheme="minorHAnsi" w:cstheme="minorHAnsi"/>
        </w:rPr>
        <w:t>Note that there are no formal requirements that apply when making a disclosure under the PID Act. You can make a disclosure in writing or orally with or without reference to the PID Act.</w:t>
      </w:r>
    </w:p>
    <w:p w:rsidR="002C30D0" w:rsidRPr="009B0A94" w:rsidRDefault="002C30D0" w:rsidP="00FA579D">
      <w:pPr>
        <w:pStyle w:val="Heading4"/>
      </w:pPr>
      <w:r w:rsidRPr="005A57DF">
        <w:t xml:space="preserve">Internal </w:t>
      </w:r>
      <w:r w:rsidR="007B5184">
        <w:t xml:space="preserve">PID </w:t>
      </w:r>
      <w:r w:rsidRPr="005A57DF">
        <w:t>disclosures</w:t>
      </w:r>
    </w:p>
    <w:p w:rsidR="004D0B2E" w:rsidRDefault="00920002" w:rsidP="002C5C5C">
      <w:pPr>
        <w:rPr>
          <w:rFonts w:asciiTheme="minorHAnsi" w:hAnsiTheme="minorHAnsi" w:cstheme="minorHAnsi"/>
        </w:rPr>
      </w:pPr>
      <w:r w:rsidRPr="009C3806">
        <w:rPr>
          <w:rFonts w:asciiTheme="minorHAnsi" w:hAnsiTheme="minorHAnsi" w:cstheme="minorHAnsi"/>
        </w:rPr>
        <w:t xml:space="preserve">An internal disclosure can be made </w:t>
      </w:r>
      <w:r w:rsidR="007B5184">
        <w:rPr>
          <w:rFonts w:asciiTheme="minorHAnsi" w:hAnsiTheme="minorHAnsi" w:cstheme="minorHAnsi"/>
        </w:rPr>
        <w:t xml:space="preserve">under the PID Act </w:t>
      </w:r>
      <w:r w:rsidRPr="009C3806">
        <w:rPr>
          <w:rFonts w:asciiTheme="minorHAnsi" w:hAnsiTheme="minorHAnsi" w:cstheme="minorHAnsi"/>
        </w:rPr>
        <w:t xml:space="preserve">to an </w:t>
      </w:r>
      <w:r w:rsidR="002C30D0" w:rsidRPr="009C3806">
        <w:rPr>
          <w:rFonts w:asciiTheme="minorHAnsi" w:hAnsiTheme="minorHAnsi" w:cstheme="minorHAnsi"/>
        </w:rPr>
        <w:t xml:space="preserve">NBA </w:t>
      </w:r>
      <w:r w:rsidRPr="009C3806">
        <w:rPr>
          <w:rFonts w:asciiTheme="minorHAnsi" w:hAnsiTheme="minorHAnsi" w:cstheme="minorHAnsi"/>
        </w:rPr>
        <w:t>authorised officer</w:t>
      </w:r>
      <w:r w:rsidR="007B5184">
        <w:rPr>
          <w:rFonts w:asciiTheme="minorHAnsi" w:hAnsiTheme="minorHAnsi" w:cstheme="minorHAnsi"/>
        </w:rPr>
        <w:t xml:space="preserve"> (including the General Manager)</w:t>
      </w:r>
      <w:r w:rsidRPr="009C3806">
        <w:rPr>
          <w:rFonts w:asciiTheme="minorHAnsi" w:hAnsiTheme="minorHAnsi" w:cstheme="minorHAnsi"/>
        </w:rPr>
        <w:t xml:space="preserve">, </w:t>
      </w:r>
      <w:r w:rsidR="007B5184">
        <w:rPr>
          <w:rFonts w:asciiTheme="minorHAnsi" w:hAnsiTheme="minorHAnsi" w:cstheme="minorHAnsi"/>
        </w:rPr>
        <w:t xml:space="preserve">a supervisor/manager (who will pass the disclosure on to an authorised officer) </w:t>
      </w:r>
      <w:r w:rsidRPr="009C3806">
        <w:rPr>
          <w:rFonts w:asciiTheme="minorHAnsi" w:hAnsiTheme="minorHAnsi" w:cstheme="minorHAnsi"/>
        </w:rPr>
        <w:t xml:space="preserve">or an authorised officer of the Commonwealth Ombudsman, if you believe on reasonable grounds that it would be appropriate for the </w:t>
      </w:r>
      <w:r w:rsidR="007B5184">
        <w:rPr>
          <w:rFonts w:asciiTheme="minorHAnsi" w:hAnsiTheme="minorHAnsi" w:cstheme="minorHAnsi"/>
        </w:rPr>
        <w:t>Ombudsman to investigate.</w:t>
      </w:r>
    </w:p>
    <w:p w:rsidR="002C30D0" w:rsidRPr="005A57DF" w:rsidRDefault="002C30D0" w:rsidP="00FA579D">
      <w:pPr>
        <w:pStyle w:val="Heading4"/>
      </w:pPr>
      <w:r w:rsidRPr="005A57DF">
        <w:t>External disclosures</w:t>
      </w:r>
    </w:p>
    <w:p w:rsidR="002C30D0" w:rsidRPr="009C3806" w:rsidRDefault="002C30D0" w:rsidP="002C30D0">
      <w:pPr>
        <w:rPr>
          <w:rFonts w:asciiTheme="minorHAnsi" w:hAnsiTheme="minorHAnsi" w:cstheme="minorHAnsi"/>
        </w:rPr>
      </w:pPr>
      <w:r w:rsidRPr="009C3806">
        <w:rPr>
          <w:rFonts w:asciiTheme="minorHAnsi" w:hAnsiTheme="minorHAnsi" w:cstheme="minorHAnsi"/>
        </w:rPr>
        <w:t>An external disclosure</w:t>
      </w:r>
      <w:r w:rsidR="000E0940" w:rsidRPr="009C3806">
        <w:rPr>
          <w:rFonts w:asciiTheme="minorHAnsi" w:hAnsiTheme="minorHAnsi" w:cstheme="minorHAnsi"/>
        </w:rPr>
        <w:t xml:space="preserve"> is a disclosure to anyone that is </w:t>
      </w:r>
      <w:r w:rsidR="00873043" w:rsidRPr="009C3806">
        <w:rPr>
          <w:rFonts w:asciiTheme="minorHAnsi" w:hAnsiTheme="minorHAnsi" w:cstheme="minorHAnsi"/>
        </w:rPr>
        <w:t>not covered by internal disclosures</w:t>
      </w:r>
      <w:r w:rsidRPr="009C3806">
        <w:rPr>
          <w:rFonts w:asciiTheme="minorHAnsi" w:hAnsiTheme="minorHAnsi" w:cstheme="minorHAnsi"/>
        </w:rPr>
        <w:t xml:space="preserve"> other than a foreign public official. There are only limited circumstances </w:t>
      </w:r>
      <w:r w:rsidR="00873043" w:rsidRPr="009C3806">
        <w:rPr>
          <w:rFonts w:asciiTheme="minorHAnsi" w:hAnsiTheme="minorHAnsi" w:cstheme="minorHAnsi"/>
        </w:rPr>
        <w:t xml:space="preserve">where the PID Act </w:t>
      </w:r>
      <w:r w:rsidR="007B5184">
        <w:rPr>
          <w:rFonts w:asciiTheme="minorHAnsi" w:hAnsiTheme="minorHAnsi" w:cstheme="minorHAnsi"/>
        </w:rPr>
        <w:t xml:space="preserve">will </w:t>
      </w:r>
      <w:r w:rsidR="00FE376D" w:rsidRPr="009C3806">
        <w:rPr>
          <w:rFonts w:asciiTheme="minorHAnsi" w:hAnsiTheme="minorHAnsi" w:cstheme="minorHAnsi"/>
        </w:rPr>
        <w:t>protect a person</w:t>
      </w:r>
      <w:r w:rsidR="00873043" w:rsidRPr="009C3806">
        <w:rPr>
          <w:rFonts w:asciiTheme="minorHAnsi" w:hAnsiTheme="minorHAnsi" w:cstheme="minorHAnsi"/>
        </w:rPr>
        <w:t xml:space="preserve"> </w:t>
      </w:r>
      <w:r w:rsidRPr="009C3806">
        <w:rPr>
          <w:rFonts w:asciiTheme="minorHAnsi" w:hAnsiTheme="minorHAnsi" w:cstheme="minorHAnsi"/>
        </w:rPr>
        <w:t>making an external disclosure. As there are specific criteria regarding these types of disclosures</w:t>
      </w:r>
      <w:r w:rsidR="00873043" w:rsidRPr="009C3806">
        <w:rPr>
          <w:rFonts w:asciiTheme="minorHAnsi" w:hAnsiTheme="minorHAnsi" w:cstheme="minorHAnsi"/>
        </w:rPr>
        <w:t xml:space="preserve"> under the PID Act </w:t>
      </w:r>
      <w:r w:rsidRPr="009C3806">
        <w:rPr>
          <w:rFonts w:asciiTheme="minorHAnsi" w:hAnsiTheme="minorHAnsi" w:cstheme="minorHAnsi"/>
        </w:rPr>
        <w:t xml:space="preserve">and there may be legal implications for you in making such a disclosure (for example to the media), it is recommended that you seek independent legal advice.  The Ombudsman anticipates these types of disclosures will be rare. </w:t>
      </w:r>
    </w:p>
    <w:p w:rsidR="00873043" w:rsidRPr="005A57DF" w:rsidRDefault="00873043" w:rsidP="00FA579D">
      <w:pPr>
        <w:pStyle w:val="Heading4"/>
      </w:pPr>
      <w:r w:rsidRPr="005A57DF">
        <w:t>Emergency disclosures</w:t>
      </w:r>
    </w:p>
    <w:p w:rsidR="00873043" w:rsidRPr="009C3806" w:rsidRDefault="00873043" w:rsidP="000E0940">
      <w:pPr>
        <w:rPr>
          <w:rFonts w:asciiTheme="minorHAnsi" w:hAnsiTheme="minorHAnsi" w:cstheme="minorHAnsi"/>
        </w:rPr>
      </w:pPr>
      <w:r w:rsidRPr="009C3806">
        <w:rPr>
          <w:rFonts w:asciiTheme="minorHAnsi" w:hAnsiTheme="minorHAnsi" w:cstheme="minorHAnsi"/>
        </w:rPr>
        <w:t>An emergency disclosure is a disclosure to any person (not covered by internal disclosures) other than a foreign public official where the discloser believes</w:t>
      </w:r>
      <w:r w:rsidR="000E0940" w:rsidRPr="009C3806">
        <w:rPr>
          <w:rFonts w:asciiTheme="minorHAnsi" w:hAnsiTheme="minorHAnsi" w:cstheme="minorHAnsi"/>
        </w:rPr>
        <w:t xml:space="preserve"> t</w:t>
      </w:r>
      <w:r w:rsidRPr="009C3806">
        <w:rPr>
          <w:rFonts w:asciiTheme="minorHAnsi" w:hAnsiTheme="minorHAnsi" w:cstheme="minorHAnsi"/>
        </w:rPr>
        <w:t xml:space="preserve">here is a substantial and imminent </w:t>
      </w:r>
      <w:r w:rsidR="009B1338" w:rsidRPr="009C3806">
        <w:rPr>
          <w:rFonts w:asciiTheme="minorHAnsi" w:hAnsiTheme="minorHAnsi" w:cstheme="minorHAnsi"/>
        </w:rPr>
        <w:t xml:space="preserve">danger to the </w:t>
      </w:r>
      <w:r w:rsidR="009B1338" w:rsidRPr="009C3806">
        <w:rPr>
          <w:rFonts w:asciiTheme="minorHAnsi" w:hAnsiTheme="minorHAnsi" w:cstheme="minorHAnsi"/>
        </w:rPr>
        <w:lastRenderedPageBreak/>
        <w:t>health or safety of one or more persons or the environme</w:t>
      </w:r>
      <w:r w:rsidR="000E0940" w:rsidRPr="009C3806">
        <w:rPr>
          <w:rFonts w:asciiTheme="minorHAnsi" w:hAnsiTheme="minorHAnsi" w:cstheme="minorHAnsi"/>
        </w:rPr>
        <w:t>nt. For an emergency disclosure to be protected under the PID Act the discloser must also satisfy certain requirements which are set out in section 26 of the PID Act.</w:t>
      </w:r>
    </w:p>
    <w:p w:rsidR="009B1338" w:rsidRDefault="00FE376D" w:rsidP="00FE376D">
      <w:pPr>
        <w:rPr>
          <w:rFonts w:asciiTheme="minorHAnsi" w:hAnsiTheme="minorHAnsi" w:cstheme="minorHAnsi"/>
        </w:rPr>
      </w:pPr>
      <w:r w:rsidRPr="009C3806">
        <w:rPr>
          <w:rFonts w:asciiTheme="minorHAnsi" w:hAnsiTheme="minorHAnsi" w:cstheme="minorHAnsi"/>
        </w:rPr>
        <w:t xml:space="preserve">It is also a condition for external </w:t>
      </w:r>
      <w:r w:rsidR="007B5184">
        <w:rPr>
          <w:rFonts w:asciiTheme="minorHAnsi" w:hAnsiTheme="minorHAnsi" w:cstheme="minorHAnsi"/>
        </w:rPr>
        <w:t xml:space="preserve">and emergency </w:t>
      </w:r>
      <w:r w:rsidRPr="009C3806">
        <w:rPr>
          <w:rFonts w:asciiTheme="minorHAnsi" w:hAnsiTheme="minorHAnsi" w:cstheme="minorHAnsi"/>
        </w:rPr>
        <w:t>disclosures that t</w:t>
      </w:r>
      <w:r w:rsidR="009B1338" w:rsidRPr="009C3806">
        <w:rPr>
          <w:rFonts w:asciiTheme="minorHAnsi" w:hAnsiTheme="minorHAnsi" w:cstheme="minorHAnsi"/>
        </w:rPr>
        <w:t>he information does not include any sensitive intelligence information.</w:t>
      </w:r>
    </w:p>
    <w:p w:rsidR="004476BE" w:rsidRPr="004A53D5" w:rsidRDefault="006B1ABF" w:rsidP="004476BE">
      <w:hyperlink w:anchor="_Public_Interest_Disclosure" w:history="1">
        <w:r w:rsidR="004476BE" w:rsidRPr="004476BE">
          <w:rPr>
            <w:rStyle w:val="Hyperlink"/>
          </w:rPr>
          <w:t>Back to top</w:t>
        </w:r>
      </w:hyperlink>
    </w:p>
    <w:p w:rsidR="005A57DF" w:rsidRPr="009C3806" w:rsidRDefault="00AD76DF" w:rsidP="005A57DF">
      <w:pPr>
        <w:pStyle w:val="Heading3"/>
      </w:pPr>
      <w:bookmarkStart w:id="12" w:name="_What_protections_are"/>
      <w:bookmarkEnd w:id="12"/>
      <w:r>
        <w:br/>
      </w:r>
      <w:r w:rsidR="003C597A">
        <w:t>What protections are available under the PID Act</w:t>
      </w:r>
      <w:r w:rsidR="005A57DF">
        <w:t>?</w:t>
      </w:r>
    </w:p>
    <w:p w:rsidR="009B0A94" w:rsidRDefault="009B0A94" w:rsidP="005A57DF">
      <w:pPr>
        <w:rPr>
          <w:rFonts w:asciiTheme="minorHAnsi" w:hAnsiTheme="minorHAnsi" w:cstheme="minorHAnsi"/>
        </w:rPr>
      </w:pPr>
      <w:r>
        <w:rPr>
          <w:rFonts w:asciiTheme="minorHAnsi" w:hAnsiTheme="minorHAnsi" w:cstheme="minorHAnsi"/>
        </w:rPr>
        <w:t>There are four key protections for public interest disclosers, they are:</w:t>
      </w:r>
    </w:p>
    <w:p w:rsidR="009B0A94" w:rsidRDefault="009B0A94" w:rsidP="009B0A94">
      <w:pPr>
        <w:pStyle w:val="ListParagraph"/>
        <w:numPr>
          <w:ilvl w:val="0"/>
          <w:numId w:val="12"/>
        </w:numPr>
        <w:rPr>
          <w:rFonts w:asciiTheme="minorHAnsi" w:hAnsiTheme="minorHAnsi" w:cstheme="minorHAnsi"/>
        </w:rPr>
      </w:pPr>
      <w:r>
        <w:rPr>
          <w:rFonts w:asciiTheme="minorHAnsi" w:hAnsiTheme="minorHAnsi" w:cstheme="minorHAnsi"/>
        </w:rPr>
        <w:t>substantial immunity from liability for disclosing;</w:t>
      </w:r>
    </w:p>
    <w:p w:rsidR="009B0A94" w:rsidRDefault="009B0A94" w:rsidP="009B0A94">
      <w:pPr>
        <w:pStyle w:val="ListParagraph"/>
        <w:numPr>
          <w:ilvl w:val="0"/>
          <w:numId w:val="12"/>
        </w:numPr>
        <w:rPr>
          <w:rFonts w:asciiTheme="minorHAnsi" w:hAnsiTheme="minorHAnsi" w:cstheme="minorHAnsi"/>
        </w:rPr>
      </w:pPr>
      <w:r>
        <w:rPr>
          <w:rFonts w:asciiTheme="minorHAnsi" w:hAnsiTheme="minorHAnsi" w:cstheme="minorHAnsi"/>
        </w:rPr>
        <w:t>protection of actual or threatened reprisals;</w:t>
      </w:r>
    </w:p>
    <w:p w:rsidR="009B0A94" w:rsidRDefault="009B0A94" w:rsidP="009B0A94">
      <w:pPr>
        <w:pStyle w:val="ListParagraph"/>
        <w:numPr>
          <w:ilvl w:val="0"/>
          <w:numId w:val="12"/>
        </w:numPr>
        <w:rPr>
          <w:rFonts w:asciiTheme="minorHAnsi" w:hAnsiTheme="minorHAnsi" w:cstheme="minorHAnsi"/>
        </w:rPr>
      </w:pPr>
      <w:r>
        <w:rPr>
          <w:rFonts w:asciiTheme="minorHAnsi" w:hAnsiTheme="minorHAnsi" w:cstheme="minorHAnsi"/>
        </w:rPr>
        <w:t>restrictions on revealing the identity of the discloser; and,</w:t>
      </w:r>
    </w:p>
    <w:p w:rsidR="009B0A94" w:rsidRPr="009B0A94" w:rsidRDefault="009B0A94" w:rsidP="009B0A94">
      <w:pPr>
        <w:pStyle w:val="ListParagraph"/>
        <w:numPr>
          <w:ilvl w:val="0"/>
          <w:numId w:val="12"/>
        </w:numPr>
        <w:rPr>
          <w:rFonts w:asciiTheme="minorHAnsi" w:hAnsiTheme="minorHAnsi" w:cstheme="minorHAnsi"/>
        </w:rPr>
      </w:pPr>
      <w:r>
        <w:rPr>
          <w:rFonts w:asciiTheme="minorHAnsi" w:hAnsiTheme="minorHAnsi" w:cstheme="minorHAnsi"/>
        </w:rPr>
        <w:t xml:space="preserve">adverse action provisions of the </w:t>
      </w:r>
      <w:r>
        <w:rPr>
          <w:rFonts w:asciiTheme="minorHAnsi" w:hAnsiTheme="minorHAnsi" w:cstheme="minorHAnsi"/>
          <w:i/>
        </w:rPr>
        <w:t xml:space="preserve">Fair Work Act 2009 </w:t>
      </w:r>
      <w:r>
        <w:rPr>
          <w:rFonts w:asciiTheme="minorHAnsi" w:hAnsiTheme="minorHAnsi" w:cstheme="minorHAnsi"/>
        </w:rPr>
        <w:t>apply.</w:t>
      </w:r>
    </w:p>
    <w:p w:rsidR="009B0A94" w:rsidRDefault="009B0A94" w:rsidP="00036B9A">
      <w:r w:rsidRPr="009B0A94">
        <w:t>It is important to note that to be protected an individual making a disclosure must normally make it to an authorised person and they cannot knowingly make a false or misleading statement</w:t>
      </w:r>
      <w:r w:rsidR="00036B9A">
        <w:t xml:space="preserve">. </w:t>
      </w:r>
      <w:r w:rsidRPr="009B0A94">
        <w:t>The individual making the disclosure must also honestly believe on reasonable grounds that the information tends to show disclosable conduct. This means that you must have something tangible to support your belief rather than a mere assertion or suspicion. If you are unsure then you should consider obtaining independent legal advice first.</w:t>
      </w:r>
    </w:p>
    <w:p w:rsidR="004476BE" w:rsidRPr="004A53D5" w:rsidRDefault="006B1ABF" w:rsidP="004476BE">
      <w:hyperlink w:anchor="_Public_Interest_Disclosure" w:history="1">
        <w:r w:rsidR="004476BE" w:rsidRPr="004476BE">
          <w:rPr>
            <w:rStyle w:val="Hyperlink"/>
          </w:rPr>
          <w:t>Back to top</w:t>
        </w:r>
      </w:hyperlink>
    </w:p>
    <w:p w:rsidR="004476BE" w:rsidRDefault="004476BE" w:rsidP="00036B9A"/>
    <w:p w:rsidR="00036B9A" w:rsidRDefault="00036B9A" w:rsidP="00036B9A">
      <w:pPr>
        <w:pStyle w:val="Heading3"/>
      </w:pPr>
      <w:bookmarkStart w:id="13" w:name="_Contact_information_for"/>
      <w:bookmarkEnd w:id="13"/>
      <w:r w:rsidRPr="009C3806">
        <w:t xml:space="preserve">Contact information for Authorised Officers </w:t>
      </w:r>
    </w:p>
    <w:p w:rsidR="00036B9A" w:rsidRDefault="00036B9A" w:rsidP="00036B9A">
      <w:pPr>
        <w:pStyle w:val="ListParagraph"/>
        <w:ind w:left="0"/>
        <w:rPr>
          <w:rFonts w:asciiTheme="minorHAnsi" w:hAnsiTheme="minorHAnsi" w:cstheme="minorHAnsi"/>
        </w:rPr>
      </w:pPr>
      <w:r w:rsidRPr="00036B9A">
        <w:rPr>
          <w:rFonts w:asciiTheme="minorHAnsi" w:hAnsiTheme="minorHAnsi" w:cstheme="minorHAnsi"/>
        </w:rPr>
        <w:t xml:space="preserve">Under the PID Act, each agency must appoint authorised officers to handle public interest disclosures. Disclosures can also be made to a supervisor/manager, who must pass it to an authorised officer. For the purposes of this Act the following </w:t>
      </w:r>
      <w:r w:rsidR="00AD76DF">
        <w:rPr>
          <w:rFonts w:asciiTheme="minorHAnsi" w:hAnsiTheme="minorHAnsi" w:cstheme="minorHAnsi"/>
        </w:rPr>
        <w:t>staff</w:t>
      </w:r>
      <w:r w:rsidR="00AD76DF" w:rsidRPr="00036B9A">
        <w:rPr>
          <w:rFonts w:asciiTheme="minorHAnsi" w:hAnsiTheme="minorHAnsi" w:cstheme="minorHAnsi"/>
        </w:rPr>
        <w:t xml:space="preserve"> have</w:t>
      </w:r>
      <w:r w:rsidRPr="00036B9A">
        <w:rPr>
          <w:rFonts w:asciiTheme="minorHAnsi" w:hAnsiTheme="minorHAnsi" w:cstheme="minorHAnsi"/>
        </w:rPr>
        <w:t xml:space="preserve"> been appointed as authorised officers</w:t>
      </w:r>
      <w:r>
        <w:rPr>
          <w:rFonts w:asciiTheme="minorHAnsi" w:hAnsiTheme="minorHAnsi" w:cstheme="minorHAnsi"/>
        </w:rPr>
        <w:t>:</w:t>
      </w:r>
    </w:p>
    <w:p w:rsidR="00036B9A" w:rsidRDefault="00036B9A" w:rsidP="00036B9A">
      <w:pPr>
        <w:pStyle w:val="ListParagraph"/>
        <w:ind w:left="0"/>
        <w:rPr>
          <w:rFonts w:asciiTheme="minorHAnsi" w:hAnsiTheme="minorHAnsi" w:cstheme="minorHAnsi"/>
        </w:rPr>
      </w:pPr>
    </w:p>
    <w:p w:rsidR="00036B9A" w:rsidRPr="009C3806" w:rsidRDefault="00036B9A" w:rsidP="00036B9A">
      <w:pPr>
        <w:pStyle w:val="ListParagraph"/>
        <w:ind w:left="0"/>
        <w:rPr>
          <w:rFonts w:asciiTheme="minorHAnsi" w:hAnsiTheme="minorHAnsi" w:cstheme="minorHAnsi"/>
          <w:b/>
        </w:rPr>
      </w:pPr>
      <w:r w:rsidRPr="009C3806">
        <w:rPr>
          <w:rFonts w:asciiTheme="minorHAnsi" w:hAnsiTheme="minorHAnsi" w:cstheme="minorHAnsi"/>
          <w:b/>
        </w:rPr>
        <w:t xml:space="preserve">Name: </w:t>
      </w:r>
      <w:r>
        <w:rPr>
          <w:rFonts w:asciiTheme="minorHAnsi" w:hAnsiTheme="minorHAnsi" w:cstheme="minorHAnsi"/>
        </w:rPr>
        <w:t>Michael Stone</w:t>
      </w:r>
      <w:r w:rsidRPr="009C3806">
        <w:rPr>
          <w:rFonts w:asciiTheme="minorHAnsi" w:hAnsiTheme="minorHAnsi" w:cstheme="minorHAnsi"/>
          <w:b/>
        </w:rPr>
        <w:t xml:space="preserve"> </w:t>
      </w:r>
    </w:p>
    <w:p w:rsidR="00036B9A" w:rsidRPr="009C3806" w:rsidRDefault="00036B9A" w:rsidP="00036B9A">
      <w:pPr>
        <w:pStyle w:val="ListParagraph"/>
        <w:ind w:left="0"/>
        <w:rPr>
          <w:rFonts w:asciiTheme="minorHAnsi" w:hAnsiTheme="minorHAnsi" w:cstheme="minorHAnsi"/>
          <w:b/>
        </w:rPr>
      </w:pPr>
      <w:r w:rsidRPr="009C3806">
        <w:rPr>
          <w:rFonts w:asciiTheme="minorHAnsi" w:hAnsiTheme="minorHAnsi" w:cstheme="minorHAnsi"/>
          <w:b/>
        </w:rPr>
        <w:t xml:space="preserve">Phone: </w:t>
      </w:r>
      <w:r w:rsidRPr="009C3806">
        <w:rPr>
          <w:rFonts w:asciiTheme="minorHAnsi" w:hAnsiTheme="minorHAnsi" w:cstheme="minorHAnsi"/>
        </w:rPr>
        <w:t xml:space="preserve">02 </w:t>
      </w:r>
      <w:r>
        <w:rPr>
          <w:rFonts w:asciiTheme="minorHAnsi" w:hAnsiTheme="minorHAnsi" w:cstheme="minorHAnsi"/>
        </w:rPr>
        <w:t>6151 5003</w:t>
      </w:r>
    </w:p>
    <w:p w:rsidR="00036B9A" w:rsidRPr="009C3806" w:rsidRDefault="00036B9A" w:rsidP="00036B9A">
      <w:pPr>
        <w:pStyle w:val="ListParagraph"/>
        <w:ind w:left="0"/>
        <w:rPr>
          <w:rFonts w:asciiTheme="minorHAnsi" w:hAnsiTheme="minorHAnsi" w:cstheme="minorHAnsi"/>
          <w:b/>
        </w:rPr>
      </w:pPr>
    </w:p>
    <w:p w:rsidR="00036B9A" w:rsidRPr="009C3806" w:rsidRDefault="00036B9A" w:rsidP="00036B9A">
      <w:pPr>
        <w:pStyle w:val="ListParagraph"/>
        <w:ind w:left="0"/>
        <w:rPr>
          <w:rFonts w:asciiTheme="minorHAnsi" w:hAnsiTheme="minorHAnsi" w:cstheme="minorHAnsi"/>
          <w:b/>
        </w:rPr>
      </w:pPr>
      <w:r w:rsidRPr="009C3806">
        <w:rPr>
          <w:rFonts w:asciiTheme="minorHAnsi" w:hAnsiTheme="minorHAnsi" w:cstheme="minorHAnsi"/>
          <w:b/>
        </w:rPr>
        <w:t xml:space="preserve">Name: </w:t>
      </w:r>
      <w:r>
        <w:rPr>
          <w:rFonts w:asciiTheme="minorHAnsi" w:hAnsiTheme="minorHAnsi" w:cstheme="minorHAnsi"/>
        </w:rPr>
        <w:t>Peter O’Halloran</w:t>
      </w:r>
      <w:r w:rsidRPr="009C3806">
        <w:rPr>
          <w:rFonts w:asciiTheme="minorHAnsi" w:hAnsiTheme="minorHAnsi" w:cstheme="minorHAnsi"/>
          <w:b/>
        </w:rPr>
        <w:t xml:space="preserve"> </w:t>
      </w:r>
    </w:p>
    <w:p w:rsidR="00036B9A" w:rsidRPr="009C3806" w:rsidRDefault="00036B9A" w:rsidP="00036B9A">
      <w:pPr>
        <w:pStyle w:val="ListParagraph"/>
        <w:ind w:left="0"/>
        <w:rPr>
          <w:rFonts w:asciiTheme="minorHAnsi" w:hAnsiTheme="minorHAnsi" w:cstheme="minorHAnsi"/>
          <w:b/>
        </w:rPr>
      </w:pPr>
      <w:r w:rsidRPr="009C3806">
        <w:rPr>
          <w:rFonts w:asciiTheme="minorHAnsi" w:hAnsiTheme="minorHAnsi" w:cstheme="minorHAnsi"/>
          <w:b/>
        </w:rPr>
        <w:t xml:space="preserve">Phone: </w:t>
      </w:r>
      <w:r w:rsidRPr="009C3806">
        <w:rPr>
          <w:rFonts w:asciiTheme="minorHAnsi" w:hAnsiTheme="minorHAnsi" w:cstheme="minorHAnsi"/>
        </w:rPr>
        <w:t xml:space="preserve">02 </w:t>
      </w:r>
      <w:r>
        <w:rPr>
          <w:rFonts w:asciiTheme="minorHAnsi" w:hAnsiTheme="minorHAnsi" w:cstheme="minorHAnsi"/>
        </w:rPr>
        <w:t>6151 5007</w:t>
      </w:r>
    </w:p>
    <w:p w:rsidR="00036B9A" w:rsidRPr="009C3806" w:rsidRDefault="00036B9A" w:rsidP="00036B9A">
      <w:pPr>
        <w:pStyle w:val="ListParagraph"/>
        <w:ind w:left="0"/>
        <w:rPr>
          <w:rFonts w:asciiTheme="minorHAnsi" w:hAnsiTheme="minorHAnsi" w:cstheme="minorHAnsi"/>
          <w:b/>
        </w:rPr>
      </w:pPr>
    </w:p>
    <w:p w:rsidR="00036B9A" w:rsidRPr="009C3806" w:rsidRDefault="00036B9A" w:rsidP="00036B9A">
      <w:pPr>
        <w:pStyle w:val="ListParagraph"/>
        <w:ind w:left="0"/>
        <w:rPr>
          <w:rFonts w:asciiTheme="minorHAnsi" w:hAnsiTheme="minorHAnsi" w:cstheme="minorHAnsi"/>
          <w:b/>
        </w:rPr>
      </w:pPr>
      <w:r w:rsidRPr="009C3806">
        <w:rPr>
          <w:rFonts w:asciiTheme="minorHAnsi" w:hAnsiTheme="minorHAnsi" w:cstheme="minorHAnsi"/>
          <w:b/>
        </w:rPr>
        <w:t xml:space="preserve">Name: </w:t>
      </w:r>
      <w:r>
        <w:rPr>
          <w:rFonts w:asciiTheme="minorHAnsi" w:hAnsiTheme="minorHAnsi" w:cstheme="minorHAnsi"/>
        </w:rPr>
        <w:t>Sandra Cochrane</w:t>
      </w:r>
      <w:r w:rsidRPr="009C3806">
        <w:rPr>
          <w:rFonts w:asciiTheme="minorHAnsi" w:hAnsiTheme="minorHAnsi" w:cstheme="minorHAnsi"/>
          <w:b/>
        </w:rPr>
        <w:t xml:space="preserve"> </w:t>
      </w:r>
    </w:p>
    <w:p w:rsidR="00036B9A" w:rsidRPr="009C3806" w:rsidRDefault="00036B9A" w:rsidP="00036B9A">
      <w:pPr>
        <w:pStyle w:val="ListParagraph"/>
        <w:ind w:left="0"/>
        <w:rPr>
          <w:rFonts w:asciiTheme="minorHAnsi" w:hAnsiTheme="minorHAnsi" w:cstheme="minorHAnsi"/>
          <w:b/>
        </w:rPr>
      </w:pPr>
      <w:r w:rsidRPr="009C3806">
        <w:rPr>
          <w:rFonts w:asciiTheme="minorHAnsi" w:hAnsiTheme="minorHAnsi" w:cstheme="minorHAnsi"/>
          <w:b/>
        </w:rPr>
        <w:t xml:space="preserve">Phone: </w:t>
      </w:r>
      <w:r w:rsidRPr="009C3806">
        <w:rPr>
          <w:rFonts w:asciiTheme="minorHAnsi" w:hAnsiTheme="minorHAnsi" w:cstheme="minorHAnsi"/>
        </w:rPr>
        <w:t xml:space="preserve">02 </w:t>
      </w:r>
      <w:r>
        <w:rPr>
          <w:rFonts w:asciiTheme="minorHAnsi" w:hAnsiTheme="minorHAnsi" w:cstheme="minorHAnsi"/>
        </w:rPr>
        <w:t>6151 5005</w:t>
      </w:r>
    </w:p>
    <w:p w:rsidR="00036B9A" w:rsidRPr="009C3806" w:rsidRDefault="00036B9A" w:rsidP="00036B9A">
      <w:pPr>
        <w:pStyle w:val="ListParagraph"/>
        <w:ind w:left="0"/>
        <w:rPr>
          <w:rFonts w:asciiTheme="minorHAnsi" w:hAnsiTheme="minorHAnsi" w:cstheme="minorHAnsi"/>
          <w:b/>
        </w:rPr>
      </w:pPr>
    </w:p>
    <w:p w:rsidR="00036B9A" w:rsidRDefault="00036B9A" w:rsidP="00036B9A">
      <w:pPr>
        <w:pStyle w:val="ListParagraph"/>
        <w:ind w:left="0"/>
        <w:rPr>
          <w:rStyle w:val="Hyperlink"/>
          <w:rFonts w:asciiTheme="minorHAnsi" w:hAnsiTheme="minorHAnsi" w:cstheme="minorHAnsi"/>
        </w:rPr>
      </w:pPr>
      <w:r w:rsidRPr="009C3806">
        <w:rPr>
          <w:rFonts w:asciiTheme="minorHAnsi" w:hAnsiTheme="minorHAnsi" w:cstheme="minorHAnsi"/>
          <w:b/>
        </w:rPr>
        <w:t xml:space="preserve">General email address: </w:t>
      </w:r>
      <w:hyperlink r:id="rId11" w:history="1">
        <w:r w:rsidRPr="009C3806">
          <w:rPr>
            <w:rStyle w:val="Hyperlink"/>
            <w:rFonts w:asciiTheme="minorHAnsi" w:hAnsiTheme="minorHAnsi" w:cstheme="minorHAnsi"/>
          </w:rPr>
          <w:t>PID@blood.gov.au</w:t>
        </w:r>
      </w:hyperlink>
    </w:p>
    <w:p w:rsidR="004476BE" w:rsidRPr="004A53D5" w:rsidRDefault="006B1ABF" w:rsidP="004476BE">
      <w:hyperlink w:anchor="_Public_Interest_Disclosure" w:history="1">
        <w:r w:rsidR="004476BE" w:rsidRPr="004476BE">
          <w:rPr>
            <w:rStyle w:val="Hyperlink"/>
          </w:rPr>
          <w:t>Back to top</w:t>
        </w:r>
      </w:hyperlink>
    </w:p>
    <w:p w:rsidR="004476BE" w:rsidRPr="009C3806" w:rsidRDefault="004476BE" w:rsidP="00036B9A">
      <w:pPr>
        <w:pStyle w:val="ListParagraph"/>
        <w:ind w:left="0"/>
        <w:rPr>
          <w:rFonts w:asciiTheme="minorHAnsi" w:hAnsiTheme="minorHAnsi" w:cstheme="minorHAnsi"/>
        </w:rPr>
      </w:pPr>
    </w:p>
    <w:p w:rsidR="003C597A" w:rsidRPr="003C597A" w:rsidRDefault="003C597A" w:rsidP="003C597A">
      <w:pPr>
        <w:pStyle w:val="Heading3"/>
      </w:pPr>
      <w:bookmarkStart w:id="14" w:name="_Further_information"/>
      <w:bookmarkEnd w:id="14"/>
      <w:r w:rsidRPr="003C597A">
        <w:t>Further information</w:t>
      </w:r>
    </w:p>
    <w:p w:rsidR="00036B9A" w:rsidRDefault="003C597A" w:rsidP="003C597A">
      <w:pPr>
        <w:rPr>
          <w:rFonts w:asciiTheme="minorHAnsi" w:hAnsiTheme="minorHAnsi" w:cstheme="minorHAnsi"/>
        </w:rPr>
      </w:pPr>
      <w:r w:rsidRPr="003C597A">
        <w:rPr>
          <w:rFonts w:asciiTheme="minorHAnsi" w:hAnsiTheme="minorHAnsi" w:cstheme="minorHAnsi"/>
        </w:rPr>
        <w:t xml:space="preserve">Further information regarding the </w:t>
      </w:r>
      <w:r>
        <w:rPr>
          <w:rFonts w:asciiTheme="minorHAnsi" w:hAnsiTheme="minorHAnsi" w:cstheme="minorHAnsi"/>
        </w:rPr>
        <w:t>PID Act</w:t>
      </w:r>
      <w:r w:rsidRPr="003C597A">
        <w:rPr>
          <w:rFonts w:asciiTheme="minorHAnsi" w:hAnsiTheme="minorHAnsi" w:cstheme="minorHAnsi"/>
        </w:rPr>
        <w:t xml:space="preserve"> can be found on the Ombudsman’s </w:t>
      </w:r>
      <w:r>
        <w:rPr>
          <w:rFonts w:asciiTheme="minorHAnsi" w:hAnsiTheme="minorHAnsi" w:cstheme="minorHAnsi"/>
        </w:rPr>
        <w:t xml:space="preserve">website at </w:t>
      </w:r>
      <w:hyperlink r:id="rId12" w:history="1">
        <w:r w:rsidRPr="007A6B90">
          <w:rPr>
            <w:rStyle w:val="Hyperlink"/>
            <w:rFonts w:asciiTheme="minorHAnsi" w:hAnsiTheme="minorHAnsi" w:cstheme="minorHAnsi"/>
          </w:rPr>
          <w:t>http://www.ombudsman.gov.au/pages/pid/</w:t>
        </w:r>
      </w:hyperlink>
      <w:r>
        <w:rPr>
          <w:rFonts w:asciiTheme="minorHAnsi" w:hAnsiTheme="minorHAnsi" w:cstheme="minorHAnsi"/>
        </w:rPr>
        <w:t xml:space="preserve">. </w:t>
      </w:r>
    </w:p>
    <w:p w:rsidR="004476BE" w:rsidRPr="004A53D5" w:rsidRDefault="006B1ABF" w:rsidP="004476BE">
      <w:hyperlink w:anchor="_Public_Interest_Disclosure" w:history="1">
        <w:r w:rsidR="004476BE" w:rsidRPr="004476BE">
          <w:rPr>
            <w:rStyle w:val="Hyperlink"/>
          </w:rPr>
          <w:t>Back to top</w:t>
        </w:r>
      </w:hyperlink>
    </w:p>
    <w:sectPr w:rsidR="004476BE" w:rsidRPr="004A53D5" w:rsidSect="000138FE">
      <w:headerReference w:type="default" r:id="rId13"/>
      <w:footerReference w:type="default" r:id="rId14"/>
      <w:headerReference w:type="first" r:id="rId15"/>
      <w:pgSz w:w="11906" w:h="16838"/>
      <w:pgMar w:top="1440" w:right="1133" w:bottom="70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C51" w:rsidRDefault="006E5C51" w:rsidP="00856708">
      <w:pPr>
        <w:spacing w:after="0"/>
      </w:pPr>
      <w:r>
        <w:separator/>
      </w:r>
    </w:p>
  </w:endnote>
  <w:endnote w:type="continuationSeparator" w:id="0">
    <w:p w:rsidR="006E5C51" w:rsidRDefault="006E5C51"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338" w:rsidRDefault="009B1338"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6B1ABF">
      <w:rPr>
        <w:noProof/>
        <w:sz w:val="20"/>
        <w:szCs w:val="20"/>
      </w:rPr>
      <w:t>2</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C51" w:rsidRDefault="006E5C51" w:rsidP="00856708">
      <w:pPr>
        <w:spacing w:after="0"/>
      </w:pPr>
      <w:r>
        <w:separator/>
      </w:r>
    </w:p>
  </w:footnote>
  <w:footnote w:type="continuationSeparator" w:id="0">
    <w:p w:rsidR="006E5C51" w:rsidRDefault="006E5C51"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338" w:rsidRDefault="009B13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338" w:rsidRDefault="009B1338">
    <w:pPr>
      <w:pStyle w:val="Header"/>
    </w:pPr>
    <w:r>
      <w:rPr>
        <w:noProof/>
        <w:lang w:eastAsia="en-AU"/>
      </w:rPr>
      <w:drawing>
        <wp:anchor distT="0" distB="0" distL="114300" distR="114300" simplePos="0" relativeHeight="251657216" behindDoc="1" locked="0" layoutInCell="1" allowOverlap="1" wp14:anchorId="51CCD94C" wp14:editId="3AB91020">
          <wp:simplePos x="0" y="0"/>
          <wp:positionH relativeFrom="column">
            <wp:posOffset>-923925</wp:posOffset>
          </wp:positionH>
          <wp:positionV relativeFrom="paragraph">
            <wp:posOffset>-478155</wp:posOffset>
          </wp:positionV>
          <wp:extent cx="7588342" cy="10725150"/>
          <wp:effectExtent l="0" t="0" r="0" b="0"/>
          <wp:wrapNone/>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588691" cy="107256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793E"/>
    <w:multiLevelType w:val="hybridMultilevel"/>
    <w:tmpl w:val="1B5AD0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F4C7A63"/>
    <w:multiLevelType w:val="hybridMultilevel"/>
    <w:tmpl w:val="007A86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3780566"/>
    <w:multiLevelType w:val="hybridMultilevel"/>
    <w:tmpl w:val="AA063A7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nsid w:val="19533EA5"/>
    <w:multiLevelType w:val="hybridMultilevel"/>
    <w:tmpl w:val="0FD6D0B6"/>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FF65930"/>
    <w:multiLevelType w:val="hybridMultilevel"/>
    <w:tmpl w:val="B032FC24"/>
    <w:lvl w:ilvl="0" w:tplc="D8002B8A">
      <w:numFmt w:val="bullet"/>
      <w:lvlText w:val="•"/>
      <w:lvlJc w:val="left"/>
      <w:pPr>
        <w:ind w:left="720" w:hanging="360"/>
      </w:pPr>
      <w:rPr>
        <w:rFonts w:ascii="Calibri" w:eastAsia="Dotum"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AC62B7E"/>
    <w:multiLevelType w:val="hybridMultilevel"/>
    <w:tmpl w:val="88021B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3E9D4560"/>
    <w:multiLevelType w:val="hybridMultilevel"/>
    <w:tmpl w:val="732839C8"/>
    <w:lvl w:ilvl="0" w:tplc="5AA848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509E0641"/>
    <w:multiLevelType w:val="hybridMultilevel"/>
    <w:tmpl w:val="29CCEC98"/>
    <w:lvl w:ilvl="0" w:tplc="D8002B8A">
      <w:numFmt w:val="bullet"/>
      <w:lvlText w:val="•"/>
      <w:lvlJc w:val="left"/>
      <w:pPr>
        <w:ind w:left="720" w:hanging="360"/>
      </w:pPr>
      <w:rPr>
        <w:rFonts w:ascii="Calibri" w:eastAsia="Dotum"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778581E"/>
    <w:multiLevelType w:val="hybridMultilevel"/>
    <w:tmpl w:val="7AFA4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07C2E1E"/>
    <w:multiLevelType w:val="hybridMultilevel"/>
    <w:tmpl w:val="E8C8E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96343EE"/>
    <w:multiLevelType w:val="hybridMultilevel"/>
    <w:tmpl w:val="91FE543A"/>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13C605D"/>
    <w:multiLevelType w:val="hybridMultilevel"/>
    <w:tmpl w:val="4A9CB7E2"/>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4FB253C"/>
    <w:multiLevelType w:val="hybridMultilevel"/>
    <w:tmpl w:val="5186E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76E7FCD"/>
    <w:multiLevelType w:val="hybridMultilevel"/>
    <w:tmpl w:val="52A6FA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4"/>
  </w:num>
  <w:num w:numId="4">
    <w:abstractNumId w:val="1"/>
  </w:num>
  <w:num w:numId="5">
    <w:abstractNumId w:val="14"/>
  </w:num>
  <w:num w:numId="6">
    <w:abstractNumId w:val="8"/>
  </w:num>
  <w:num w:numId="7">
    <w:abstractNumId w:val="5"/>
  </w:num>
  <w:num w:numId="8">
    <w:abstractNumId w:val="0"/>
  </w:num>
  <w:num w:numId="9">
    <w:abstractNumId w:val="7"/>
  </w:num>
  <w:num w:numId="10">
    <w:abstractNumId w:val="2"/>
  </w:num>
  <w:num w:numId="11">
    <w:abstractNumId w:val="13"/>
  </w:num>
  <w:num w:numId="12">
    <w:abstractNumId w:val="9"/>
  </w:num>
  <w:num w:numId="13">
    <w:abstractNumId w:val="12"/>
  </w:num>
  <w:num w:numId="14">
    <w:abstractNumId w:val="11"/>
  </w:num>
  <w:num w:numId="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A45"/>
    <w:rsid w:val="000138FE"/>
    <w:rsid w:val="00014291"/>
    <w:rsid w:val="00036B9A"/>
    <w:rsid w:val="00036EDC"/>
    <w:rsid w:val="00072CA9"/>
    <w:rsid w:val="0007401F"/>
    <w:rsid w:val="000E0940"/>
    <w:rsid w:val="000E4AAD"/>
    <w:rsid w:val="001051DA"/>
    <w:rsid w:val="00127A11"/>
    <w:rsid w:val="0019009C"/>
    <w:rsid w:val="001A78F5"/>
    <w:rsid w:val="001B5289"/>
    <w:rsid w:val="001C5325"/>
    <w:rsid w:val="00200F7C"/>
    <w:rsid w:val="002244E3"/>
    <w:rsid w:val="00234E89"/>
    <w:rsid w:val="00235B5B"/>
    <w:rsid w:val="00244821"/>
    <w:rsid w:val="002537F2"/>
    <w:rsid w:val="00265A79"/>
    <w:rsid w:val="0026631F"/>
    <w:rsid w:val="00267AB3"/>
    <w:rsid w:val="00267CD2"/>
    <w:rsid w:val="00275CBB"/>
    <w:rsid w:val="00291CB0"/>
    <w:rsid w:val="00295C2E"/>
    <w:rsid w:val="002C30D0"/>
    <w:rsid w:val="002C5C5C"/>
    <w:rsid w:val="002E3A67"/>
    <w:rsid w:val="002F079E"/>
    <w:rsid w:val="00306F61"/>
    <w:rsid w:val="0039529F"/>
    <w:rsid w:val="003955AA"/>
    <w:rsid w:val="003C597A"/>
    <w:rsid w:val="00436B55"/>
    <w:rsid w:val="004476BE"/>
    <w:rsid w:val="00457D71"/>
    <w:rsid w:val="00466755"/>
    <w:rsid w:val="004A53D5"/>
    <w:rsid w:val="004B6084"/>
    <w:rsid w:val="004D0B2E"/>
    <w:rsid w:val="004D2470"/>
    <w:rsid w:val="004D4636"/>
    <w:rsid w:val="004D556C"/>
    <w:rsid w:val="004E5186"/>
    <w:rsid w:val="004F7379"/>
    <w:rsid w:val="00524359"/>
    <w:rsid w:val="00554D87"/>
    <w:rsid w:val="0056686D"/>
    <w:rsid w:val="0058010A"/>
    <w:rsid w:val="005A57DF"/>
    <w:rsid w:val="005B4B1D"/>
    <w:rsid w:val="006025AD"/>
    <w:rsid w:val="00643B67"/>
    <w:rsid w:val="006B1ABF"/>
    <w:rsid w:val="006C6616"/>
    <w:rsid w:val="006E22B9"/>
    <w:rsid w:val="006E5C51"/>
    <w:rsid w:val="007075AD"/>
    <w:rsid w:val="00734E05"/>
    <w:rsid w:val="00781760"/>
    <w:rsid w:val="00786969"/>
    <w:rsid w:val="00793AB9"/>
    <w:rsid w:val="007A246C"/>
    <w:rsid w:val="007A2EF2"/>
    <w:rsid w:val="007A3064"/>
    <w:rsid w:val="007B5184"/>
    <w:rsid w:val="007C0A3B"/>
    <w:rsid w:val="00811DBB"/>
    <w:rsid w:val="00856708"/>
    <w:rsid w:val="00873043"/>
    <w:rsid w:val="00893E0A"/>
    <w:rsid w:val="00895CBF"/>
    <w:rsid w:val="008B2841"/>
    <w:rsid w:val="008C00B9"/>
    <w:rsid w:val="008C0C5B"/>
    <w:rsid w:val="008C4C79"/>
    <w:rsid w:val="008D3DC0"/>
    <w:rsid w:val="008F5AC5"/>
    <w:rsid w:val="00920002"/>
    <w:rsid w:val="0092079E"/>
    <w:rsid w:val="00922D78"/>
    <w:rsid w:val="009343D4"/>
    <w:rsid w:val="00951B85"/>
    <w:rsid w:val="009B0A94"/>
    <w:rsid w:val="009B1338"/>
    <w:rsid w:val="009C3806"/>
    <w:rsid w:val="009C6DE0"/>
    <w:rsid w:val="009E38CC"/>
    <w:rsid w:val="009F5158"/>
    <w:rsid w:val="00A05202"/>
    <w:rsid w:val="00A242CA"/>
    <w:rsid w:val="00A43CB2"/>
    <w:rsid w:val="00A51883"/>
    <w:rsid w:val="00A66B9A"/>
    <w:rsid w:val="00A90F53"/>
    <w:rsid w:val="00AB01F1"/>
    <w:rsid w:val="00AD02D0"/>
    <w:rsid w:val="00AD23AE"/>
    <w:rsid w:val="00AD76DF"/>
    <w:rsid w:val="00AF4FAD"/>
    <w:rsid w:val="00AF57EA"/>
    <w:rsid w:val="00B3726E"/>
    <w:rsid w:val="00B8554B"/>
    <w:rsid w:val="00B94AA4"/>
    <w:rsid w:val="00BC639E"/>
    <w:rsid w:val="00BF1D64"/>
    <w:rsid w:val="00BF50B6"/>
    <w:rsid w:val="00C07DFE"/>
    <w:rsid w:val="00C15EDB"/>
    <w:rsid w:val="00C25A45"/>
    <w:rsid w:val="00C667CC"/>
    <w:rsid w:val="00C7337B"/>
    <w:rsid w:val="00CD4440"/>
    <w:rsid w:val="00CE69FE"/>
    <w:rsid w:val="00D03C23"/>
    <w:rsid w:val="00D16B7B"/>
    <w:rsid w:val="00D26CE5"/>
    <w:rsid w:val="00D846F9"/>
    <w:rsid w:val="00DC27EE"/>
    <w:rsid w:val="00DE5C1A"/>
    <w:rsid w:val="00E01BFC"/>
    <w:rsid w:val="00E11E7C"/>
    <w:rsid w:val="00E2085E"/>
    <w:rsid w:val="00E5228A"/>
    <w:rsid w:val="00E7294B"/>
    <w:rsid w:val="00E85E5C"/>
    <w:rsid w:val="00E92141"/>
    <w:rsid w:val="00ED4711"/>
    <w:rsid w:val="00ED5157"/>
    <w:rsid w:val="00F00BE7"/>
    <w:rsid w:val="00F22622"/>
    <w:rsid w:val="00F62B13"/>
    <w:rsid w:val="00F642C1"/>
    <w:rsid w:val="00F90A07"/>
    <w:rsid w:val="00F93AC1"/>
    <w:rsid w:val="00FA1A41"/>
    <w:rsid w:val="00FA579D"/>
    <w:rsid w:val="00FC6D94"/>
    <w:rsid w:val="00FC7886"/>
    <w:rsid w:val="00FE37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6BE"/>
    <w:pPr>
      <w:spacing w:line="240" w:lineRule="auto"/>
    </w:pPr>
    <w:rPr>
      <w:rFonts w:ascii="Calibri" w:eastAsia="Dotum" w:hAnsi="Calibri" w:cs="Calibri"/>
    </w:rPr>
  </w:style>
  <w:style w:type="paragraph" w:styleId="Heading1">
    <w:name w:val="heading 1"/>
    <w:next w:val="Normal"/>
    <w:link w:val="Heading1Char"/>
    <w:uiPriority w:val="9"/>
    <w:qFormat/>
    <w:rsid w:val="00AD23AE"/>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AD23AE"/>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3AE"/>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AD23AE"/>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paragraph" w:styleId="NoSpacing">
    <w:name w:val="No Spacing"/>
    <w:uiPriority w:val="1"/>
    <w:qFormat/>
    <w:rsid w:val="00AD23AE"/>
    <w:pPr>
      <w:spacing w:after="0" w:line="240" w:lineRule="auto"/>
    </w:pPr>
    <w:rPr>
      <w:rFonts w:ascii="Calibri" w:eastAsia="Dotum" w:hAnsi="Calibri" w:cs="Calibri"/>
    </w:rPr>
  </w:style>
  <w:style w:type="character" w:styleId="CommentReference">
    <w:name w:val="annotation reference"/>
    <w:basedOn w:val="DefaultParagraphFont"/>
    <w:uiPriority w:val="99"/>
    <w:semiHidden/>
    <w:unhideWhenUsed/>
    <w:rsid w:val="003955AA"/>
    <w:rPr>
      <w:sz w:val="16"/>
      <w:szCs w:val="16"/>
    </w:rPr>
  </w:style>
  <w:style w:type="paragraph" w:styleId="CommentText">
    <w:name w:val="annotation text"/>
    <w:basedOn w:val="Normal"/>
    <w:link w:val="CommentTextChar"/>
    <w:uiPriority w:val="99"/>
    <w:semiHidden/>
    <w:unhideWhenUsed/>
    <w:rsid w:val="003955AA"/>
    <w:rPr>
      <w:sz w:val="20"/>
      <w:szCs w:val="20"/>
    </w:rPr>
  </w:style>
  <w:style w:type="character" w:customStyle="1" w:styleId="CommentTextChar">
    <w:name w:val="Comment Text Char"/>
    <w:basedOn w:val="DefaultParagraphFont"/>
    <w:link w:val="CommentText"/>
    <w:uiPriority w:val="99"/>
    <w:semiHidden/>
    <w:rsid w:val="003955AA"/>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3955AA"/>
    <w:rPr>
      <w:b/>
      <w:bCs/>
    </w:rPr>
  </w:style>
  <w:style w:type="character" w:customStyle="1" w:styleId="CommentSubjectChar">
    <w:name w:val="Comment Subject Char"/>
    <w:basedOn w:val="CommentTextChar"/>
    <w:link w:val="CommentSubject"/>
    <w:uiPriority w:val="99"/>
    <w:semiHidden/>
    <w:rsid w:val="003955AA"/>
    <w:rPr>
      <w:rFonts w:ascii="Calibri" w:eastAsia="Dotum" w:hAnsi="Calibri" w:cs="Calibri"/>
      <w:b/>
      <w:bCs/>
      <w:sz w:val="20"/>
      <w:szCs w:val="20"/>
    </w:rPr>
  </w:style>
  <w:style w:type="paragraph" w:styleId="FootnoteText">
    <w:name w:val="footnote text"/>
    <w:basedOn w:val="Normal"/>
    <w:link w:val="FootnoteTextChar"/>
    <w:uiPriority w:val="99"/>
    <w:semiHidden/>
    <w:unhideWhenUsed/>
    <w:rsid w:val="00E01BFC"/>
    <w:pPr>
      <w:spacing w:after="0"/>
    </w:pPr>
    <w:rPr>
      <w:sz w:val="20"/>
      <w:szCs w:val="20"/>
    </w:rPr>
  </w:style>
  <w:style w:type="character" w:customStyle="1" w:styleId="FootnoteTextChar">
    <w:name w:val="Footnote Text Char"/>
    <w:basedOn w:val="DefaultParagraphFont"/>
    <w:link w:val="FootnoteText"/>
    <w:uiPriority w:val="99"/>
    <w:semiHidden/>
    <w:rsid w:val="00E01BFC"/>
    <w:rPr>
      <w:rFonts w:ascii="Calibri" w:eastAsia="Dotum" w:hAnsi="Calibri" w:cs="Calibri"/>
      <w:sz w:val="20"/>
      <w:szCs w:val="20"/>
    </w:rPr>
  </w:style>
  <w:style w:type="character" w:styleId="FootnoteReference">
    <w:name w:val="footnote reference"/>
    <w:basedOn w:val="DefaultParagraphFont"/>
    <w:uiPriority w:val="99"/>
    <w:semiHidden/>
    <w:unhideWhenUsed/>
    <w:rsid w:val="00E01BFC"/>
    <w:rPr>
      <w:vertAlign w:val="superscript"/>
    </w:rPr>
  </w:style>
  <w:style w:type="character" w:styleId="FollowedHyperlink">
    <w:name w:val="FollowedHyperlink"/>
    <w:basedOn w:val="DefaultParagraphFont"/>
    <w:uiPriority w:val="99"/>
    <w:semiHidden/>
    <w:unhideWhenUsed/>
    <w:rsid w:val="000E09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6BE"/>
    <w:pPr>
      <w:spacing w:line="240" w:lineRule="auto"/>
    </w:pPr>
    <w:rPr>
      <w:rFonts w:ascii="Calibri" w:eastAsia="Dotum" w:hAnsi="Calibri" w:cs="Calibri"/>
    </w:rPr>
  </w:style>
  <w:style w:type="paragraph" w:styleId="Heading1">
    <w:name w:val="heading 1"/>
    <w:next w:val="Normal"/>
    <w:link w:val="Heading1Char"/>
    <w:uiPriority w:val="9"/>
    <w:qFormat/>
    <w:rsid w:val="00AD23AE"/>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AD23AE"/>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3AE"/>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AD23AE"/>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paragraph" w:styleId="NoSpacing">
    <w:name w:val="No Spacing"/>
    <w:uiPriority w:val="1"/>
    <w:qFormat/>
    <w:rsid w:val="00AD23AE"/>
    <w:pPr>
      <w:spacing w:after="0" w:line="240" w:lineRule="auto"/>
    </w:pPr>
    <w:rPr>
      <w:rFonts w:ascii="Calibri" w:eastAsia="Dotum" w:hAnsi="Calibri" w:cs="Calibri"/>
    </w:rPr>
  </w:style>
  <w:style w:type="character" w:styleId="CommentReference">
    <w:name w:val="annotation reference"/>
    <w:basedOn w:val="DefaultParagraphFont"/>
    <w:uiPriority w:val="99"/>
    <w:semiHidden/>
    <w:unhideWhenUsed/>
    <w:rsid w:val="003955AA"/>
    <w:rPr>
      <w:sz w:val="16"/>
      <w:szCs w:val="16"/>
    </w:rPr>
  </w:style>
  <w:style w:type="paragraph" w:styleId="CommentText">
    <w:name w:val="annotation text"/>
    <w:basedOn w:val="Normal"/>
    <w:link w:val="CommentTextChar"/>
    <w:uiPriority w:val="99"/>
    <w:semiHidden/>
    <w:unhideWhenUsed/>
    <w:rsid w:val="003955AA"/>
    <w:rPr>
      <w:sz w:val="20"/>
      <w:szCs w:val="20"/>
    </w:rPr>
  </w:style>
  <w:style w:type="character" w:customStyle="1" w:styleId="CommentTextChar">
    <w:name w:val="Comment Text Char"/>
    <w:basedOn w:val="DefaultParagraphFont"/>
    <w:link w:val="CommentText"/>
    <w:uiPriority w:val="99"/>
    <w:semiHidden/>
    <w:rsid w:val="003955AA"/>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3955AA"/>
    <w:rPr>
      <w:b/>
      <w:bCs/>
    </w:rPr>
  </w:style>
  <w:style w:type="character" w:customStyle="1" w:styleId="CommentSubjectChar">
    <w:name w:val="Comment Subject Char"/>
    <w:basedOn w:val="CommentTextChar"/>
    <w:link w:val="CommentSubject"/>
    <w:uiPriority w:val="99"/>
    <w:semiHidden/>
    <w:rsid w:val="003955AA"/>
    <w:rPr>
      <w:rFonts w:ascii="Calibri" w:eastAsia="Dotum" w:hAnsi="Calibri" w:cs="Calibri"/>
      <w:b/>
      <w:bCs/>
      <w:sz w:val="20"/>
      <w:szCs w:val="20"/>
    </w:rPr>
  </w:style>
  <w:style w:type="paragraph" w:styleId="FootnoteText">
    <w:name w:val="footnote text"/>
    <w:basedOn w:val="Normal"/>
    <w:link w:val="FootnoteTextChar"/>
    <w:uiPriority w:val="99"/>
    <w:semiHidden/>
    <w:unhideWhenUsed/>
    <w:rsid w:val="00E01BFC"/>
    <w:pPr>
      <w:spacing w:after="0"/>
    </w:pPr>
    <w:rPr>
      <w:sz w:val="20"/>
      <w:szCs w:val="20"/>
    </w:rPr>
  </w:style>
  <w:style w:type="character" w:customStyle="1" w:styleId="FootnoteTextChar">
    <w:name w:val="Footnote Text Char"/>
    <w:basedOn w:val="DefaultParagraphFont"/>
    <w:link w:val="FootnoteText"/>
    <w:uiPriority w:val="99"/>
    <w:semiHidden/>
    <w:rsid w:val="00E01BFC"/>
    <w:rPr>
      <w:rFonts w:ascii="Calibri" w:eastAsia="Dotum" w:hAnsi="Calibri" w:cs="Calibri"/>
      <w:sz w:val="20"/>
      <w:szCs w:val="20"/>
    </w:rPr>
  </w:style>
  <w:style w:type="character" w:styleId="FootnoteReference">
    <w:name w:val="footnote reference"/>
    <w:basedOn w:val="DefaultParagraphFont"/>
    <w:uiPriority w:val="99"/>
    <w:semiHidden/>
    <w:unhideWhenUsed/>
    <w:rsid w:val="00E01BFC"/>
    <w:rPr>
      <w:vertAlign w:val="superscript"/>
    </w:rPr>
  </w:style>
  <w:style w:type="character" w:styleId="FollowedHyperlink">
    <w:name w:val="FollowedHyperlink"/>
    <w:basedOn w:val="DefaultParagraphFont"/>
    <w:uiPriority w:val="99"/>
    <w:semiHidden/>
    <w:unhideWhenUsed/>
    <w:rsid w:val="000E09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688876070">
          <w:marLeft w:val="0"/>
          <w:marRight w:val="0"/>
          <w:marTop w:val="0"/>
          <w:marBottom w:val="225"/>
          <w:divBdr>
            <w:top w:val="none" w:sz="0" w:space="0" w:color="auto"/>
            <w:left w:val="none" w:sz="0" w:space="0" w:color="auto"/>
            <w:bottom w:val="none" w:sz="0" w:space="0" w:color="auto"/>
            <w:right w:val="none" w:sz="0" w:space="0" w:color="auto"/>
          </w:divBdr>
        </w:div>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70936305">
      <w:bodyDiv w:val="1"/>
      <w:marLeft w:val="0"/>
      <w:marRight w:val="0"/>
      <w:marTop w:val="0"/>
      <w:marBottom w:val="0"/>
      <w:divBdr>
        <w:top w:val="none" w:sz="0" w:space="0" w:color="auto"/>
        <w:left w:val="none" w:sz="0" w:space="0" w:color="auto"/>
        <w:bottom w:val="none" w:sz="0" w:space="0" w:color="auto"/>
        <w:right w:val="none" w:sz="0" w:space="0" w:color="auto"/>
      </w:divBdr>
      <w:divsChild>
        <w:div w:id="762528786">
          <w:marLeft w:val="0"/>
          <w:marRight w:val="0"/>
          <w:marTop w:val="240"/>
          <w:marBottom w:val="480"/>
          <w:divBdr>
            <w:top w:val="none" w:sz="0" w:space="0" w:color="auto"/>
            <w:left w:val="none" w:sz="0" w:space="0" w:color="auto"/>
            <w:bottom w:val="none" w:sz="0" w:space="0" w:color="auto"/>
            <w:right w:val="none" w:sz="0" w:space="0" w:color="auto"/>
          </w:divBdr>
          <w:divsChild>
            <w:div w:id="1882784442">
              <w:marLeft w:val="0"/>
              <w:marRight w:val="0"/>
              <w:marTop w:val="0"/>
              <w:marBottom w:val="0"/>
              <w:divBdr>
                <w:top w:val="none" w:sz="0" w:space="0" w:color="auto"/>
                <w:left w:val="none" w:sz="0" w:space="0" w:color="auto"/>
                <w:bottom w:val="none" w:sz="0" w:space="0" w:color="auto"/>
                <w:right w:val="none" w:sz="0" w:space="0" w:color="auto"/>
              </w:divBdr>
              <w:divsChild>
                <w:div w:id="216942646">
                  <w:marLeft w:val="0"/>
                  <w:marRight w:val="0"/>
                  <w:marTop w:val="0"/>
                  <w:marBottom w:val="0"/>
                  <w:divBdr>
                    <w:top w:val="none" w:sz="0" w:space="0" w:color="auto"/>
                    <w:left w:val="none" w:sz="0" w:space="0" w:color="auto"/>
                    <w:bottom w:val="none" w:sz="0" w:space="0" w:color="auto"/>
                    <w:right w:val="none" w:sz="0" w:space="0" w:color="auto"/>
                  </w:divBdr>
                  <w:divsChild>
                    <w:div w:id="1657143763">
                      <w:marLeft w:val="0"/>
                      <w:marRight w:val="0"/>
                      <w:marTop w:val="0"/>
                      <w:marBottom w:val="0"/>
                      <w:divBdr>
                        <w:top w:val="none" w:sz="0" w:space="0" w:color="auto"/>
                        <w:left w:val="none" w:sz="0" w:space="0" w:color="auto"/>
                        <w:bottom w:val="none" w:sz="0" w:space="0" w:color="auto"/>
                        <w:right w:val="none" w:sz="0" w:space="0" w:color="auto"/>
                      </w:divBdr>
                      <w:divsChild>
                        <w:div w:id="154516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341424">
      <w:bodyDiv w:val="1"/>
      <w:marLeft w:val="0"/>
      <w:marRight w:val="0"/>
      <w:marTop w:val="0"/>
      <w:marBottom w:val="0"/>
      <w:divBdr>
        <w:top w:val="none" w:sz="0" w:space="0" w:color="auto"/>
        <w:left w:val="none" w:sz="0" w:space="0" w:color="auto"/>
        <w:bottom w:val="none" w:sz="0" w:space="0" w:color="auto"/>
        <w:right w:val="none" w:sz="0" w:space="0" w:color="auto"/>
      </w:divBdr>
      <w:divsChild>
        <w:div w:id="1381590080">
          <w:marLeft w:val="0"/>
          <w:marRight w:val="0"/>
          <w:marTop w:val="240"/>
          <w:marBottom w:val="480"/>
          <w:divBdr>
            <w:top w:val="none" w:sz="0" w:space="0" w:color="auto"/>
            <w:left w:val="none" w:sz="0" w:space="0" w:color="auto"/>
            <w:bottom w:val="none" w:sz="0" w:space="0" w:color="auto"/>
            <w:right w:val="none" w:sz="0" w:space="0" w:color="auto"/>
          </w:divBdr>
          <w:divsChild>
            <w:div w:id="745152316">
              <w:marLeft w:val="0"/>
              <w:marRight w:val="0"/>
              <w:marTop w:val="0"/>
              <w:marBottom w:val="0"/>
              <w:divBdr>
                <w:top w:val="none" w:sz="0" w:space="0" w:color="auto"/>
                <w:left w:val="none" w:sz="0" w:space="0" w:color="auto"/>
                <w:bottom w:val="none" w:sz="0" w:space="0" w:color="auto"/>
                <w:right w:val="none" w:sz="0" w:space="0" w:color="auto"/>
              </w:divBdr>
              <w:divsChild>
                <w:div w:id="295910078">
                  <w:marLeft w:val="0"/>
                  <w:marRight w:val="0"/>
                  <w:marTop w:val="0"/>
                  <w:marBottom w:val="0"/>
                  <w:divBdr>
                    <w:top w:val="none" w:sz="0" w:space="0" w:color="auto"/>
                    <w:left w:val="none" w:sz="0" w:space="0" w:color="auto"/>
                    <w:bottom w:val="none" w:sz="0" w:space="0" w:color="auto"/>
                    <w:right w:val="none" w:sz="0" w:space="0" w:color="auto"/>
                  </w:divBdr>
                  <w:divsChild>
                    <w:div w:id="215900361">
                      <w:marLeft w:val="0"/>
                      <w:marRight w:val="0"/>
                      <w:marTop w:val="0"/>
                      <w:marBottom w:val="0"/>
                      <w:divBdr>
                        <w:top w:val="none" w:sz="0" w:space="0" w:color="auto"/>
                        <w:left w:val="none" w:sz="0" w:space="0" w:color="auto"/>
                        <w:bottom w:val="none" w:sz="0" w:space="0" w:color="auto"/>
                        <w:right w:val="none" w:sz="0" w:space="0" w:color="auto"/>
                      </w:divBdr>
                      <w:divsChild>
                        <w:div w:id="75316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680047">
      <w:bodyDiv w:val="1"/>
      <w:marLeft w:val="0"/>
      <w:marRight w:val="0"/>
      <w:marTop w:val="0"/>
      <w:marBottom w:val="0"/>
      <w:divBdr>
        <w:top w:val="none" w:sz="0" w:space="0" w:color="auto"/>
        <w:left w:val="none" w:sz="0" w:space="0" w:color="auto"/>
        <w:bottom w:val="none" w:sz="0" w:space="0" w:color="auto"/>
        <w:right w:val="none" w:sz="0" w:space="0" w:color="auto"/>
      </w:divBdr>
      <w:divsChild>
        <w:div w:id="1847747697">
          <w:marLeft w:val="0"/>
          <w:marRight w:val="0"/>
          <w:marTop w:val="240"/>
          <w:marBottom w:val="480"/>
          <w:divBdr>
            <w:top w:val="none" w:sz="0" w:space="0" w:color="auto"/>
            <w:left w:val="none" w:sz="0" w:space="0" w:color="auto"/>
            <w:bottom w:val="none" w:sz="0" w:space="0" w:color="auto"/>
            <w:right w:val="none" w:sz="0" w:space="0" w:color="auto"/>
          </w:divBdr>
          <w:divsChild>
            <w:div w:id="547257022">
              <w:marLeft w:val="0"/>
              <w:marRight w:val="0"/>
              <w:marTop w:val="0"/>
              <w:marBottom w:val="0"/>
              <w:divBdr>
                <w:top w:val="none" w:sz="0" w:space="0" w:color="auto"/>
                <w:left w:val="none" w:sz="0" w:space="0" w:color="auto"/>
                <w:bottom w:val="none" w:sz="0" w:space="0" w:color="auto"/>
                <w:right w:val="none" w:sz="0" w:space="0" w:color="auto"/>
              </w:divBdr>
              <w:divsChild>
                <w:div w:id="1732658585">
                  <w:marLeft w:val="0"/>
                  <w:marRight w:val="0"/>
                  <w:marTop w:val="0"/>
                  <w:marBottom w:val="0"/>
                  <w:divBdr>
                    <w:top w:val="none" w:sz="0" w:space="0" w:color="auto"/>
                    <w:left w:val="none" w:sz="0" w:space="0" w:color="auto"/>
                    <w:bottom w:val="none" w:sz="0" w:space="0" w:color="auto"/>
                    <w:right w:val="none" w:sz="0" w:space="0" w:color="auto"/>
                  </w:divBdr>
                  <w:divsChild>
                    <w:div w:id="1840535651">
                      <w:marLeft w:val="0"/>
                      <w:marRight w:val="0"/>
                      <w:marTop w:val="0"/>
                      <w:marBottom w:val="0"/>
                      <w:divBdr>
                        <w:top w:val="none" w:sz="0" w:space="0" w:color="auto"/>
                        <w:left w:val="none" w:sz="0" w:space="0" w:color="auto"/>
                        <w:bottom w:val="none" w:sz="0" w:space="0" w:color="auto"/>
                        <w:right w:val="none" w:sz="0" w:space="0" w:color="auto"/>
                      </w:divBdr>
                      <w:divsChild>
                        <w:div w:id="200324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mbudsman.gov.au/pages/pi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ID@blood.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omlaw.gov.au/Series/C2013A0013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2546217.NBA\Desktop\D13%2051770%20%20TEMPLATE%20-%20Management%20Instruc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FEB4D-66CE-4856-8C81-4A15592A9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D13 51770  TEMPLATE - Management Instruction</Template>
  <TotalTime>1</TotalTime>
  <Pages>3</Pages>
  <Words>1074</Words>
  <Characters>5676</Characters>
  <Application>Microsoft Office Word</Application>
  <DocSecurity>0</DocSecurity>
  <Lines>124</Lines>
  <Paragraphs>71</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Bruning, Casey</dc:creator>
  <cp:lastModifiedBy>Emma Johnson</cp:lastModifiedBy>
  <cp:revision>2</cp:revision>
  <cp:lastPrinted>2014-03-04T04:01:00Z</cp:lastPrinted>
  <dcterms:created xsi:type="dcterms:W3CDTF">2014-03-17T02:55:00Z</dcterms:created>
  <dcterms:modified xsi:type="dcterms:W3CDTF">2014-03-17T02:55:00Z</dcterms:modified>
</cp:coreProperties>
</file>