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r>
        <w:t>Monitoring International Trends</w:t>
      </w:r>
    </w:p>
    <w:p w:rsidR="00032145" w:rsidRDefault="00032145" w:rsidP="00032145">
      <w:pPr>
        <w:rPr>
          <w:rFonts w:ascii="Arial" w:hAnsi="Arial" w:cs="Arial"/>
          <w:b/>
        </w:rPr>
      </w:pPr>
      <w:proofErr w:type="gramStart"/>
      <w:r>
        <w:rPr>
          <w:rFonts w:ascii="Arial" w:hAnsi="Arial" w:cs="Arial"/>
          <w:b/>
        </w:rPr>
        <w:t>posted</w:t>
      </w:r>
      <w:proofErr w:type="gramEnd"/>
      <w:r>
        <w:rPr>
          <w:rFonts w:ascii="Arial" w:hAnsi="Arial" w:cs="Arial"/>
          <w:b/>
        </w:rPr>
        <w:t xml:space="preserve"> </w:t>
      </w:r>
      <w:r w:rsidR="00D27CB1">
        <w:rPr>
          <w:rFonts w:ascii="Arial" w:hAnsi="Arial" w:cs="Arial"/>
          <w:b/>
        </w:rPr>
        <w:t xml:space="preserve">July </w:t>
      </w:r>
      <w:r w:rsidR="0055355B">
        <w:rPr>
          <w:rFonts w:ascii="Arial" w:hAnsi="Arial" w:cs="Arial"/>
          <w:b/>
        </w:rPr>
        <w:t>2013</w:t>
      </w:r>
    </w:p>
    <w:p w:rsidR="00032145" w:rsidRDefault="00032145" w:rsidP="00032145">
      <w:pPr>
        <w:spacing w:before="120"/>
        <w:rPr>
          <w:rFonts w:ascii="Arial" w:hAnsi="Arial" w:cs="Arial"/>
        </w:rPr>
      </w:pPr>
      <w:r>
        <w:rPr>
          <w:rFonts w:ascii="Arial" w:hAnsi="Arial" w:cs="Arial"/>
        </w:rPr>
        <w:t>The NBA monitors international developments that may influence the management of blood and blood products in Australia.  Our focus is on:</w:t>
      </w:r>
    </w:p>
    <w:p w:rsidR="00032145" w:rsidRDefault="00032145" w:rsidP="00032145">
      <w:pPr>
        <w:numPr>
          <w:ilvl w:val="0"/>
          <w:numId w:val="6"/>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032145">
      <w:pPr>
        <w:numPr>
          <w:ilvl w:val="0"/>
          <w:numId w:val="6"/>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032145">
      <w:pPr>
        <w:numPr>
          <w:ilvl w:val="0"/>
          <w:numId w:val="6"/>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032145">
      <w:pPr>
        <w:numPr>
          <w:ilvl w:val="0"/>
          <w:numId w:val="6"/>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A41FB3" w:rsidRPr="00A41FB3" w:rsidRDefault="00032145" w:rsidP="0044518E">
      <w:pPr>
        <w:spacing w:before="240"/>
        <w:rPr>
          <w:rFonts w:ascii="Arial" w:hAnsi="Arial" w:cs="Arial"/>
        </w:rPr>
      </w:pPr>
      <w:r>
        <w:rPr>
          <w:rFonts w:ascii="Arial" w:hAnsi="Arial" w:cs="Arial"/>
        </w:rPr>
        <w:t xml:space="preserve">A selection of recent matters of interest appears below.  </w:t>
      </w:r>
      <w:r w:rsidR="00A41FB3">
        <w:rPr>
          <w:rFonts w:ascii="Arial" w:eastAsia="Arial" w:hAnsi="Arial" w:cs="Arial"/>
        </w:rPr>
        <w:t>Highlights</w:t>
      </w:r>
      <w:r w:rsidR="00A41FB3">
        <w:rPr>
          <w:rFonts w:ascii="Arial" w:eastAsia="Arial" w:hAnsi="Arial" w:cs="Arial"/>
          <w:spacing w:val="-10"/>
        </w:rPr>
        <w:t xml:space="preserve"> </w:t>
      </w:r>
      <w:r w:rsidR="00A41FB3">
        <w:rPr>
          <w:rFonts w:ascii="Arial" w:eastAsia="Arial" w:hAnsi="Arial" w:cs="Arial"/>
        </w:rPr>
        <w:t>i</w:t>
      </w:r>
      <w:r w:rsidR="00A41FB3">
        <w:rPr>
          <w:rFonts w:ascii="Arial" w:eastAsia="Arial" w:hAnsi="Arial" w:cs="Arial"/>
          <w:spacing w:val="-1"/>
        </w:rPr>
        <w:t>n</w:t>
      </w:r>
      <w:r w:rsidR="00A41FB3">
        <w:rPr>
          <w:rFonts w:ascii="Arial" w:eastAsia="Arial" w:hAnsi="Arial" w:cs="Arial"/>
        </w:rPr>
        <w:t>cl</w:t>
      </w:r>
      <w:r w:rsidR="00A41FB3">
        <w:rPr>
          <w:rFonts w:ascii="Arial" w:eastAsia="Arial" w:hAnsi="Arial" w:cs="Arial"/>
          <w:spacing w:val="-1"/>
        </w:rPr>
        <w:t>u</w:t>
      </w:r>
      <w:r w:rsidR="00A41FB3">
        <w:rPr>
          <w:rFonts w:ascii="Arial" w:eastAsia="Arial" w:hAnsi="Arial" w:cs="Arial"/>
        </w:rPr>
        <w:t>de:</w:t>
      </w:r>
    </w:p>
    <w:p w:rsidR="00A41FB3" w:rsidRPr="0044518E" w:rsidRDefault="00A41FB3" w:rsidP="0044518E">
      <w:pPr>
        <w:numPr>
          <w:ilvl w:val="0"/>
          <w:numId w:val="6"/>
        </w:numPr>
        <w:tabs>
          <w:tab w:val="num" w:pos="284"/>
        </w:tabs>
        <w:spacing w:after="0" w:line="240" w:lineRule="auto"/>
        <w:ind w:left="284" w:hanging="284"/>
        <w:rPr>
          <w:rFonts w:ascii="Arial" w:hAnsi="Arial" w:cs="Arial"/>
        </w:rPr>
      </w:pPr>
      <w:r w:rsidRPr="0044518E">
        <w:rPr>
          <w:rFonts w:ascii="Arial" w:hAnsi="Arial" w:cs="Arial"/>
        </w:rPr>
        <w:t xml:space="preserve">The 24th Annual Congress of the International Society on Thrombosis and Haemostasis (ISTH) in Amsterdam </w:t>
      </w:r>
      <w:r w:rsidR="00F53CE4" w:rsidRPr="0044518E">
        <w:rPr>
          <w:rFonts w:ascii="Arial" w:hAnsi="Arial" w:cs="Arial"/>
        </w:rPr>
        <w:t>June 29-July 4</w:t>
      </w:r>
      <w:r w:rsidRPr="0044518E">
        <w:rPr>
          <w:rFonts w:ascii="Arial" w:hAnsi="Arial" w:cs="Arial"/>
        </w:rPr>
        <w:t xml:space="preserve"> heard updates </w:t>
      </w:r>
      <w:r w:rsidR="003E3A0A" w:rsidRPr="0044518E">
        <w:rPr>
          <w:rFonts w:ascii="Arial" w:hAnsi="Arial" w:cs="Arial"/>
        </w:rPr>
        <w:t xml:space="preserve">from several companies </w:t>
      </w:r>
      <w:r w:rsidRPr="0044518E">
        <w:rPr>
          <w:rFonts w:ascii="Arial" w:hAnsi="Arial" w:cs="Arial"/>
        </w:rPr>
        <w:t xml:space="preserve">about development of clotting factors </w:t>
      </w:r>
      <w:r w:rsidR="00F53CE4" w:rsidRPr="0044518E">
        <w:rPr>
          <w:rFonts w:ascii="Arial" w:hAnsi="Arial" w:cs="Arial"/>
        </w:rPr>
        <w:t>with longer half- lives (page 2</w:t>
      </w:r>
      <w:r w:rsidR="00BA0BBA" w:rsidRPr="0044518E">
        <w:rPr>
          <w:rFonts w:ascii="Arial" w:hAnsi="Arial" w:cs="Arial"/>
        </w:rPr>
        <w:t>).</w:t>
      </w:r>
      <w:r w:rsidR="00F53CE4" w:rsidRPr="0044518E">
        <w:rPr>
          <w:rFonts w:ascii="Arial" w:hAnsi="Arial" w:cs="Arial"/>
        </w:rPr>
        <w:t xml:space="preserve"> </w:t>
      </w:r>
    </w:p>
    <w:p w:rsidR="00BA0BBA" w:rsidRPr="0044518E" w:rsidRDefault="00BA0BBA" w:rsidP="0044518E">
      <w:pPr>
        <w:numPr>
          <w:ilvl w:val="0"/>
          <w:numId w:val="6"/>
        </w:numPr>
        <w:tabs>
          <w:tab w:val="num" w:pos="284"/>
        </w:tabs>
        <w:spacing w:after="0" w:line="240" w:lineRule="auto"/>
        <w:ind w:left="284" w:hanging="284"/>
        <w:rPr>
          <w:rFonts w:ascii="Arial" w:hAnsi="Arial" w:cs="Arial"/>
        </w:rPr>
      </w:pPr>
      <w:r w:rsidRPr="0044518E">
        <w:rPr>
          <w:rFonts w:ascii="Arial" w:hAnsi="Arial" w:cs="Arial"/>
        </w:rPr>
        <w:t xml:space="preserve">The US Food and Drug Administration (FDA) </w:t>
      </w:r>
      <w:proofErr w:type="gramStart"/>
      <w:r w:rsidRPr="0044518E">
        <w:rPr>
          <w:rFonts w:ascii="Arial" w:hAnsi="Arial" w:cs="Arial"/>
        </w:rPr>
        <w:t>has</w:t>
      </w:r>
      <w:proofErr w:type="gramEnd"/>
      <w:r w:rsidRPr="0044518E">
        <w:rPr>
          <w:rFonts w:ascii="Arial" w:hAnsi="Arial" w:cs="Arial"/>
        </w:rPr>
        <w:t xml:space="preserve"> approved Baxter's </w:t>
      </w:r>
      <w:proofErr w:type="spellStart"/>
      <w:r w:rsidRPr="0044518E">
        <w:rPr>
          <w:rFonts w:ascii="Arial" w:hAnsi="Arial" w:cs="Arial"/>
        </w:rPr>
        <w:t>Rixubis</w:t>
      </w:r>
      <w:proofErr w:type="spellEnd"/>
      <w:r w:rsidRPr="0044518E">
        <w:rPr>
          <w:rFonts w:ascii="Arial" w:hAnsi="Arial" w:cs="Arial"/>
        </w:rPr>
        <w:t xml:space="preserve"> for haemophilia B patients over the age of 16 (page 4</w:t>
      </w:r>
      <w:r w:rsidR="005B2070" w:rsidRPr="0044518E">
        <w:rPr>
          <w:rFonts w:ascii="Arial" w:hAnsi="Arial" w:cs="Arial"/>
        </w:rPr>
        <w:t xml:space="preserve">). </w:t>
      </w:r>
    </w:p>
    <w:p w:rsidR="005B2070" w:rsidRPr="0044518E" w:rsidRDefault="005B2070" w:rsidP="0044518E">
      <w:pPr>
        <w:numPr>
          <w:ilvl w:val="0"/>
          <w:numId w:val="6"/>
        </w:numPr>
        <w:tabs>
          <w:tab w:val="num" w:pos="284"/>
        </w:tabs>
        <w:spacing w:after="0" w:line="240" w:lineRule="auto"/>
        <w:ind w:left="284" w:hanging="284"/>
        <w:rPr>
          <w:rFonts w:ascii="Arial" w:hAnsi="Arial" w:cs="Arial"/>
        </w:rPr>
      </w:pPr>
      <w:r w:rsidRPr="0044518E">
        <w:rPr>
          <w:rFonts w:ascii="Arial" w:hAnsi="Arial" w:cs="Arial"/>
        </w:rPr>
        <w:t>Work continues on creating artificial platelets (page 4).</w:t>
      </w:r>
    </w:p>
    <w:p w:rsidR="007F6431" w:rsidRPr="0044518E" w:rsidRDefault="007F6431" w:rsidP="0044518E">
      <w:pPr>
        <w:numPr>
          <w:ilvl w:val="0"/>
          <w:numId w:val="6"/>
        </w:numPr>
        <w:tabs>
          <w:tab w:val="num" w:pos="284"/>
        </w:tabs>
        <w:spacing w:after="0" w:line="240" w:lineRule="auto"/>
        <w:ind w:left="284" w:hanging="284"/>
        <w:rPr>
          <w:rFonts w:ascii="Arial" w:hAnsi="Arial" w:cs="Arial"/>
        </w:rPr>
      </w:pPr>
      <w:r w:rsidRPr="0044518E">
        <w:rPr>
          <w:rFonts w:ascii="Arial" w:hAnsi="Arial" w:cs="Arial"/>
        </w:rPr>
        <w:t>The European Haematology Association theme of the year to June 2014 is dedicated to "Age and Aging in blood disorders". This includes both the aging of patients and the aging of cells (</w:t>
      </w:r>
      <w:r w:rsidR="005B2070" w:rsidRPr="0044518E">
        <w:rPr>
          <w:rFonts w:ascii="Arial" w:hAnsi="Arial" w:cs="Arial"/>
        </w:rPr>
        <w:t>page 8</w:t>
      </w:r>
      <w:r w:rsidRPr="0044518E">
        <w:rPr>
          <w:rFonts w:ascii="Arial" w:hAnsi="Arial" w:cs="Arial"/>
        </w:rPr>
        <w:t>).</w:t>
      </w:r>
    </w:p>
    <w:p w:rsidR="00A41FB3" w:rsidRPr="0044518E" w:rsidRDefault="00D76D8F" w:rsidP="0044518E">
      <w:pPr>
        <w:numPr>
          <w:ilvl w:val="0"/>
          <w:numId w:val="6"/>
        </w:numPr>
        <w:tabs>
          <w:tab w:val="num" w:pos="284"/>
        </w:tabs>
        <w:spacing w:after="0" w:line="240" w:lineRule="auto"/>
        <w:ind w:left="284" w:hanging="284"/>
        <w:rPr>
          <w:rFonts w:ascii="Arial" w:hAnsi="Arial" w:cs="Arial"/>
        </w:rPr>
      </w:pPr>
      <w:r w:rsidRPr="0044518E">
        <w:rPr>
          <w:rFonts w:ascii="Arial" w:hAnsi="Arial" w:cs="Arial"/>
        </w:rPr>
        <w:t>Researchers have found that restoring blood levels of nitric oxide in animals prior to transfusion improved their tissue blood flow, oxygen delivery, and kidney function (</w:t>
      </w:r>
      <w:r w:rsidR="005B2070" w:rsidRPr="0044518E">
        <w:rPr>
          <w:rFonts w:ascii="Arial" w:hAnsi="Arial" w:cs="Arial"/>
        </w:rPr>
        <w:t>page 9</w:t>
      </w:r>
      <w:r w:rsidRPr="0044518E">
        <w:rPr>
          <w:rFonts w:ascii="Arial" w:hAnsi="Arial" w:cs="Arial"/>
        </w:rPr>
        <w:t xml:space="preserve">). </w:t>
      </w:r>
    </w:p>
    <w:p w:rsidR="00A41FB3" w:rsidRPr="0044518E" w:rsidRDefault="00041C36" w:rsidP="0044518E">
      <w:pPr>
        <w:numPr>
          <w:ilvl w:val="0"/>
          <w:numId w:val="6"/>
        </w:numPr>
        <w:tabs>
          <w:tab w:val="num" w:pos="284"/>
        </w:tabs>
        <w:spacing w:after="0" w:line="240" w:lineRule="auto"/>
        <w:ind w:left="284" w:hanging="284"/>
        <w:rPr>
          <w:rFonts w:ascii="Arial" w:hAnsi="Arial" w:cs="Arial"/>
        </w:rPr>
      </w:pPr>
      <w:r w:rsidRPr="0044518E">
        <w:rPr>
          <w:rFonts w:ascii="Arial" w:hAnsi="Arial" w:cs="Arial"/>
        </w:rPr>
        <w:t xml:space="preserve">This year </w:t>
      </w:r>
      <w:r w:rsidR="00D76D8F" w:rsidRPr="0044518E">
        <w:rPr>
          <w:rFonts w:ascii="Arial" w:hAnsi="Arial" w:cs="Arial"/>
        </w:rPr>
        <w:t xml:space="preserve">has seen major dengue and </w:t>
      </w:r>
      <w:proofErr w:type="spellStart"/>
      <w:r w:rsidR="00D76D8F" w:rsidRPr="0044518E">
        <w:rPr>
          <w:rFonts w:ascii="Arial" w:hAnsi="Arial" w:cs="Arial"/>
        </w:rPr>
        <w:t>chikungunya</w:t>
      </w:r>
      <w:proofErr w:type="spellEnd"/>
      <w:r w:rsidR="00D76D8F" w:rsidRPr="0044518E">
        <w:rPr>
          <w:rFonts w:ascii="Arial" w:hAnsi="Arial" w:cs="Arial"/>
        </w:rPr>
        <w:t xml:space="preserve"> activity in </w:t>
      </w:r>
      <w:r w:rsidR="00723D69" w:rsidRPr="0044518E">
        <w:rPr>
          <w:rFonts w:ascii="Arial" w:hAnsi="Arial" w:cs="Arial"/>
        </w:rPr>
        <w:t xml:space="preserve">countries in </w:t>
      </w:r>
      <w:r w:rsidR="00D76D8F" w:rsidRPr="0044518E">
        <w:rPr>
          <w:rFonts w:ascii="Arial" w:hAnsi="Arial" w:cs="Arial"/>
        </w:rPr>
        <w:t>our region</w:t>
      </w:r>
      <w:r w:rsidR="00723D69" w:rsidRPr="0044518E">
        <w:rPr>
          <w:rFonts w:ascii="Arial" w:hAnsi="Arial" w:cs="Arial"/>
        </w:rPr>
        <w:t xml:space="preserve"> (page </w:t>
      </w:r>
      <w:r w:rsidR="005B2070" w:rsidRPr="0044518E">
        <w:rPr>
          <w:rFonts w:ascii="Arial" w:hAnsi="Arial" w:cs="Arial"/>
        </w:rPr>
        <w:t>11</w:t>
      </w:r>
      <w:r w:rsidR="00723D69" w:rsidRPr="0044518E">
        <w:rPr>
          <w:rFonts w:ascii="Arial" w:hAnsi="Arial" w:cs="Arial"/>
        </w:rPr>
        <w:t>).</w:t>
      </w:r>
    </w:p>
    <w:p w:rsidR="00B375E4" w:rsidRPr="0044518E" w:rsidRDefault="00723D69" w:rsidP="0044518E">
      <w:pPr>
        <w:numPr>
          <w:ilvl w:val="0"/>
          <w:numId w:val="6"/>
        </w:numPr>
        <w:tabs>
          <w:tab w:val="num" w:pos="284"/>
        </w:tabs>
        <w:spacing w:after="0" w:line="240" w:lineRule="auto"/>
        <w:ind w:left="284" w:hanging="284"/>
        <w:rPr>
          <w:rFonts w:ascii="Arial" w:hAnsi="Arial" w:cs="Arial"/>
        </w:rPr>
      </w:pPr>
      <w:r w:rsidRPr="0044518E">
        <w:rPr>
          <w:rFonts w:ascii="Arial" w:hAnsi="Arial" w:cs="Arial"/>
        </w:rPr>
        <w:t>The World Health Organization (WHO) has been monitoring the possible pandemic potential of avian flu H7N9 which arose in China</w:t>
      </w:r>
      <w:r w:rsidR="00041C36" w:rsidRPr="0044518E">
        <w:rPr>
          <w:rFonts w:ascii="Arial" w:hAnsi="Arial" w:cs="Arial"/>
        </w:rPr>
        <w:t xml:space="preserve"> (</w:t>
      </w:r>
      <w:r w:rsidR="005B2070" w:rsidRPr="0044518E">
        <w:rPr>
          <w:rFonts w:ascii="Arial" w:hAnsi="Arial" w:cs="Arial"/>
        </w:rPr>
        <w:t>page 11</w:t>
      </w:r>
      <w:r w:rsidR="00041C36" w:rsidRPr="0044518E">
        <w:rPr>
          <w:rFonts w:ascii="Arial" w:hAnsi="Arial" w:cs="Arial"/>
        </w:rPr>
        <w:t>)</w:t>
      </w:r>
      <w:r w:rsidRPr="0044518E">
        <w:rPr>
          <w:rFonts w:ascii="Arial" w:hAnsi="Arial" w:cs="Arial"/>
        </w:rPr>
        <w:t xml:space="preserve"> and </w:t>
      </w:r>
      <w:r w:rsidR="00041C36" w:rsidRPr="0044518E">
        <w:rPr>
          <w:rFonts w:ascii="Arial" w:hAnsi="Arial" w:cs="Arial"/>
        </w:rPr>
        <w:t xml:space="preserve">MERS- </w:t>
      </w:r>
      <w:proofErr w:type="spellStart"/>
      <w:r w:rsidR="00041C36" w:rsidRPr="0044518E">
        <w:rPr>
          <w:rFonts w:ascii="Arial" w:hAnsi="Arial" w:cs="Arial"/>
        </w:rPr>
        <w:t>CoV</w:t>
      </w:r>
      <w:proofErr w:type="spellEnd"/>
      <w:r w:rsidR="00041C36" w:rsidRPr="0044518E">
        <w:rPr>
          <w:rFonts w:ascii="Arial" w:hAnsi="Arial" w:cs="Arial"/>
        </w:rPr>
        <w:t xml:space="preserve">, </w:t>
      </w:r>
      <w:r w:rsidRPr="0044518E">
        <w:rPr>
          <w:rFonts w:ascii="Arial" w:hAnsi="Arial" w:cs="Arial"/>
        </w:rPr>
        <w:t xml:space="preserve">the Middle East Respiratory </w:t>
      </w:r>
      <w:r w:rsidR="00A41FB3" w:rsidRPr="0044518E">
        <w:rPr>
          <w:rFonts w:ascii="Arial" w:hAnsi="Arial" w:cs="Arial"/>
        </w:rPr>
        <w:t>S</w:t>
      </w:r>
      <w:r w:rsidR="00041C36" w:rsidRPr="0044518E">
        <w:rPr>
          <w:rFonts w:ascii="Arial" w:hAnsi="Arial" w:cs="Arial"/>
        </w:rPr>
        <w:t>yndrome Coronavirus (</w:t>
      </w:r>
      <w:r w:rsidRPr="0044518E">
        <w:rPr>
          <w:rFonts w:ascii="Arial" w:hAnsi="Arial" w:cs="Arial"/>
        </w:rPr>
        <w:t>page 1</w:t>
      </w:r>
      <w:r w:rsidR="005B2070" w:rsidRPr="0044518E">
        <w:rPr>
          <w:rFonts w:ascii="Arial" w:hAnsi="Arial" w:cs="Arial"/>
        </w:rPr>
        <w:t>2</w:t>
      </w:r>
      <w:r w:rsidR="00041C36" w:rsidRPr="0044518E">
        <w:rPr>
          <w:rFonts w:ascii="Arial" w:hAnsi="Arial" w:cs="Arial"/>
        </w:rPr>
        <w:t>)</w:t>
      </w:r>
      <w:r w:rsidR="005B2070" w:rsidRPr="0044518E">
        <w:rPr>
          <w:rFonts w:ascii="Arial" w:hAnsi="Arial" w:cs="Arial"/>
        </w:rPr>
        <w:t>.</w:t>
      </w:r>
      <w:r w:rsidRPr="0044518E">
        <w:rPr>
          <w:rFonts w:ascii="Arial" w:hAnsi="Arial" w:cs="Arial"/>
        </w:rPr>
        <w:t xml:space="preserve"> </w:t>
      </w:r>
    </w:p>
    <w:sdt>
      <w:sdtPr>
        <w:rPr>
          <w:rFonts w:asciiTheme="minorHAnsi" w:eastAsiaTheme="minorHAnsi" w:hAnsiTheme="minorHAnsi" w:cstheme="minorBidi"/>
          <w:b w:val="0"/>
          <w:bCs w:val="0"/>
          <w:color w:val="auto"/>
          <w:sz w:val="22"/>
          <w:szCs w:val="22"/>
          <w:lang w:val="en-AU" w:eastAsia="en-US"/>
        </w:rPr>
        <w:id w:val="326796124"/>
        <w:docPartObj>
          <w:docPartGallery w:val="Table of Contents"/>
          <w:docPartUnique/>
        </w:docPartObj>
      </w:sdtPr>
      <w:sdtEndPr>
        <w:rPr>
          <w:noProof/>
        </w:rPr>
      </w:sdtEndPr>
      <w:sdtContent>
        <w:p w:rsidR="00B375E4" w:rsidRPr="00B375E4" w:rsidRDefault="00B375E4">
          <w:pPr>
            <w:pStyle w:val="TOCHeading"/>
          </w:pPr>
          <w:r w:rsidRPr="00B375E4">
            <w:t>Contents</w:t>
          </w:r>
        </w:p>
        <w:p w:rsidR="0044518E" w:rsidRDefault="00B375E4">
          <w:pPr>
            <w:pStyle w:val="TOC1"/>
            <w:tabs>
              <w:tab w:val="left" w:pos="440"/>
              <w:tab w:val="right" w:leader="dot" w:pos="9016"/>
            </w:tabs>
            <w:rPr>
              <w:rFonts w:eastAsiaTheme="minorEastAsia"/>
              <w:noProof/>
              <w:lang w:eastAsia="en-AU"/>
            </w:rPr>
          </w:pPr>
          <w:r w:rsidRPr="00B375E4">
            <w:rPr>
              <w:b/>
            </w:rPr>
            <w:fldChar w:fldCharType="begin"/>
          </w:r>
          <w:r w:rsidRPr="00B375E4">
            <w:rPr>
              <w:b/>
            </w:rPr>
            <w:instrText xml:space="preserve"> TOC \o "1-3" \h \z \u </w:instrText>
          </w:r>
          <w:r w:rsidRPr="00B375E4">
            <w:rPr>
              <w:b/>
            </w:rPr>
            <w:fldChar w:fldCharType="separate"/>
          </w:r>
          <w:hyperlink w:anchor="_Toc362333781" w:history="1">
            <w:r w:rsidR="0044518E" w:rsidRPr="00312E45">
              <w:rPr>
                <w:rStyle w:val="Hyperlink"/>
                <w:noProof/>
              </w:rPr>
              <w:t>1.</w:t>
            </w:r>
            <w:r w:rsidR="0044518E">
              <w:rPr>
                <w:rFonts w:eastAsiaTheme="minorEastAsia"/>
                <w:noProof/>
                <w:lang w:eastAsia="en-AU"/>
              </w:rPr>
              <w:tab/>
            </w:r>
            <w:r w:rsidR="0044518E" w:rsidRPr="00312E45">
              <w:rPr>
                <w:rStyle w:val="Hyperlink"/>
                <w:noProof/>
              </w:rPr>
              <w:t>Products</w:t>
            </w:r>
            <w:r w:rsidR="0044518E">
              <w:rPr>
                <w:noProof/>
                <w:webHidden/>
              </w:rPr>
              <w:tab/>
            </w:r>
            <w:r w:rsidR="0044518E">
              <w:rPr>
                <w:noProof/>
                <w:webHidden/>
              </w:rPr>
              <w:fldChar w:fldCharType="begin"/>
            </w:r>
            <w:r w:rsidR="0044518E">
              <w:rPr>
                <w:noProof/>
                <w:webHidden/>
              </w:rPr>
              <w:instrText xml:space="preserve"> PAGEREF _Toc362333781 \h </w:instrText>
            </w:r>
            <w:r w:rsidR="0044518E">
              <w:rPr>
                <w:noProof/>
                <w:webHidden/>
              </w:rPr>
            </w:r>
            <w:r w:rsidR="0044518E">
              <w:rPr>
                <w:noProof/>
                <w:webHidden/>
              </w:rPr>
              <w:fldChar w:fldCharType="separate"/>
            </w:r>
            <w:r w:rsidR="0044518E">
              <w:rPr>
                <w:noProof/>
                <w:webHidden/>
              </w:rPr>
              <w:t>2</w:t>
            </w:r>
            <w:r w:rsidR="0044518E">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82" w:history="1">
            <w:r w:rsidRPr="00312E45">
              <w:rPr>
                <w:rStyle w:val="Hyperlink"/>
                <w:noProof/>
              </w:rPr>
              <w:t>Haemophilia treatments – highlights from the XXIV Congress of the International Society on Thrombosis and Haemostasis (ISTH), June 29-July 4, 2013, in Amsterdam.</w:t>
            </w:r>
            <w:r>
              <w:rPr>
                <w:noProof/>
                <w:webHidden/>
              </w:rPr>
              <w:tab/>
            </w:r>
            <w:r>
              <w:rPr>
                <w:noProof/>
                <w:webHidden/>
              </w:rPr>
              <w:fldChar w:fldCharType="begin"/>
            </w:r>
            <w:r>
              <w:rPr>
                <w:noProof/>
                <w:webHidden/>
              </w:rPr>
              <w:instrText xml:space="preserve"> PAGEREF _Toc362333782 \h </w:instrText>
            </w:r>
            <w:r>
              <w:rPr>
                <w:noProof/>
                <w:webHidden/>
              </w:rPr>
            </w:r>
            <w:r>
              <w:rPr>
                <w:noProof/>
                <w:webHidden/>
              </w:rPr>
              <w:fldChar w:fldCharType="separate"/>
            </w:r>
            <w:r>
              <w:rPr>
                <w:noProof/>
                <w:webHidden/>
              </w:rPr>
              <w:t>2</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83" w:history="1">
            <w:r w:rsidRPr="00312E45">
              <w:rPr>
                <w:rStyle w:val="Hyperlink"/>
                <w:noProof/>
              </w:rPr>
              <w:t>Sickle cell treatments</w:t>
            </w:r>
            <w:r>
              <w:rPr>
                <w:noProof/>
                <w:webHidden/>
              </w:rPr>
              <w:tab/>
            </w:r>
            <w:r>
              <w:rPr>
                <w:noProof/>
                <w:webHidden/>
              </w:rPr>
              <w:fldChar w:fldCharType="begin"/>
            </w:r>
            <w:r>
              <w:rPr>
                <w:noProof/>
                <w:webHidden/>
              </w:rPr>
              <w:instrText xml:space="preserve"> PAGEREF _Toc362333783 \h </w:instrText>
            </w:r>
            <w:r>
              <w:rPr>
                <w:noProof/>
                <w:webHidden/>
              </w:rPr>
            </w:r>
            <w:r>
              <w:rPr>
                <w:noProof/>
                <w:webHidden/>
              </w:rPr>
              <w:fldChar w:fldCharType="separate"/>
            </w:r>
            <w:r>
              <w:rPr>
                <w:noProof/>
                <w:webHidden/>
              </w:rPr>
              <w:t>4</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84" w:history="1">
            <w:r w:rsidRPr="00312E45">
              <w:rPr>
                <w:rStyle w:val="Hyperlink"/>
                <w:noProof/>
              </w:rPr>
              <w:t>Artificial platelets</w:t>
            </w:r>
            <w:r>
              <w:rPr>
                <w:noProof/>
                <w:webHidden/>
              </w:rPr>
              <w:tab/>
            </w:r>
            <w:r>
              <w:rPr>
                <w:noProof/>
                <w:webHidden/>
              </w:rPr>
              <w:fldChar w:fldCharType="begin"/>
            </w:r>
            <w:r>
              <w:rPr>
                <w:noProof/>
                <w:webHidden/>
              </w:rPr>
              <w:instrText xml:space="preserve"> PAGEREF _Toc362333784 \h </w:instrText>
            </w:r>
            <w:r>
              <w:rPr>
                <w:noProof/>
                <w:webHidden/>
              </w:rPr>
            </w:r>
            <w:r>
              <w:rPr>
                <w:noProof/>
                <w:webHidden/>
              </w:rPr>
              <w:fldChar w:fldCharType="separate"/>
            </w:r>
            <w:r>
              <w:rPr>
                <w:noProof/>
                <w:webHidden/>
              </w:rPr>
              <w:t>4</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85" w:history="1">
            <w:r w:rsidRPr="00312E45">
              <w:rPr>
                <w:rStyle w:val="Hyperlink"/>
                <w:noProof/>
              </w:rPr>
              <w:t>Anti-coagulants</w:t>
            </w:r>
            <w:r>
              <w:rPr>
                <w:noProof/>
                <w:webHidden/>
              </w:rPr>
              <w:tab/>
            </w:r>
            <w:r>
              <w:rPr>
                <w:noProof/>
                <w:webHidden/>
              </w:rPr>
              <w:fldChar w:fldCharType="begin"/>
            </w:r>
            <w:r>
              <w:rPr>
                <w:noProof/>
                <w:webHidden/>
              </w:rPr>
              <w:instrText xml:space="preserve"> PAGEREF _Toc362333785 \h </w:instrText>
            </w:r>
            <w:r>
              <w:rPr>
                <w:noProof/>
                <w:webHidden/>
              </w:rPr>
            </w:r>
            <w:r>
              <w:rPr>
                <w:noProof/>
                <w:webHidden/>
              </w:rPr>
              <w:fldChar w:fldCharType="separate"/>
            </w:r>
            <w:r>
              <w:rPr>
                <w:noProof/>
                <w:webHidden/>
              </w:rPr>
              <w:t>4</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86" w:history="1">
            <w:r w:rsidRPr="00312E45">
              <w:rPr>
                <w:rStyle w:val="Hyperlink"/>
                <w:noProof/>
              </w:rPr>
              <w:t>Devices and services</w:t>
            </w:r>
            <w:r>
              <w:rPr>
                <w:noProof/>
                <w:webHidden/>
              </w:rPr>
              <w:tab/>
            </w:r>
            <w:r>
              <w:rPr>
                <w:noProof/>
                <w:webHidden/>
              </w:rPr>
              <w:fldChar w:fldCharType="begin"/>
            </w:r>
            <w:r>
              <w:rPr>
                <w:noProof/>
                <w:webHidden/>
              </w:rPr>
              <w:instrText xml:space="preserve"> PAGEREF _Toc362333786 \h </w:instrText>
            </w:r>
            <w:r>
              <w:rPr>
                <w:noProof/>
                <w:webHidden/>
              </w:rPr>
            </w:r>
            <w:r>
              <w:rPr>
                <w:noProof/>
                <w:webHidden/>
              </w:rPr>
              <w:fldChar w:fldCharType="separate"/>
            </w:r>
            <w:r>
              <w:rPr>
                <w:noProof/>
                <w:webHidden/>
              </w:rPr>
              <w:t>5</w:t>
            </w:r>
            <w:r>
              <w:rPr>
                <w:noProof/>
                <w:webHidden/>
              </w:rPr>
              <w:fldChar w:fldCharType="end"/>
            </w:r>
          </w:hyperlink>
        </w:p>
        <w:p w:rsidR="0044518E" w:rsidRDefault="0044518E">
          <w:pPr>
            <w:pStyle w:val="TOC1"/>
            <w:tabs>
              <w:tab w:val="left" w:pos="440"/>
              <w:tab w:val="right" w:leader="dot" w:pos="9016"/>
            </w:tabs>
            <w:rPr>
              <w:rFonts w:eastAsiaTheme="minorEastAsia"/>
              <w:noProof/>
              <w:lang w:eastAsia="en-AU"/>
            </w:rPr>
          </w:pPr>
          <w:hyperlink w:anchor="_Toc362333787" w:history="1">
            <w:r w:rsidRPr="00312E45">
              <w:rPr>
                <w:rStyle w:val="Hyperlink"/>
                <w:noProof/>
              </w:rPr>
              <w:t>2.</w:t>
            </w:r>
            <w:r>
              <w:rPr>
                <w:rFonts w:eastAsiaTheme="minorEastAsia"/>
                <w:noProof/>
                <w:lang w:eastAsia="en-AU"/>
              </w:rPr>
              <w:tab/>
            </w:r>
            <w:r w:rsidRPr="00312E45">
              <w:rPr>
                <w:rStyle w:val="Hyperlink"/>
                <w:noProof/>
              </w:rPr>
              <w:t>Regulatory</w:t>
            </w:r>
            <w:r>
              <w:rPr>
                <w:noProof/>
                <w:webHidden/>
              </w:rPr>
              <w:tab/>
            </w:r>
            <w:r>
              <w:rPr>
                <w:noProof/>
                <w:webHidden/>
              </w:rPr>
              <w:fldChar w:fldCharType="begin"/>
            </w:r>
            <w:r>
              <w:rPr>
                <w:noProof/>
                <w:webHidden/>
              </w:rPr>
              <w:instrText xml:space="preserve"> PAGEREF _Toc362333787 \h </w:instrText>
            </w:r>
            <w:r>
              <w:rPr>
                <w:noProof/>
                <w:webHidden/>
              </w:rPr>
            </w:r>
            <w:r>
              <w:rPr>
                <w:noProof/>
                <w:webHidden/>
              </w:rPr>
              <w:fldChar w:fldCharType="separate"/>
            </w:r>
            <w:r>
              <w:rPr>
                <w:noProof/>
                <w:webHidden/>
              </w:rPr>
              <w:t>5</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88" w:history="1">
            <w:r w:rsidRPr="00312E45">
              <w:rPr>
                <w:rStyle w:val="Hyperlink"/>
                <w:noProof/>
              </w:rPr>
              <w:t>Plasma and recombinant products</w:t>
            </w:r>
            <w:r>
              <w:rPr>
                <w:noProof/>
                <w:webHidden/>
              </w:rPr>
              <w:tab/>
            </w:r>
            <w:r>
              <w:rPr>
                <w:noProof/>
                <w:webHidden/>
              </w:rPr>
              <w:fldChar w:fldCharType="begin"/>
            </w:r>
            <w:r>
              <w:rPr>
                <w:noProof/>
                <w:webHidden/>
              </w:rPr>
              <w:instrText xml:space="preserve"> PAGEREF _Toc362333788 \h </w:instrText>
            </w:r>
            <w:r>
              <w:rPr>
                <w:noProof/>
                <w:webHidden/>
              </w:rPr>
            </w:r>
            <w:r>
              <w:rPr>
                <w:noProof/>
                <w:webHidden/>
              </w:rPr>
              <w:fldChar w:fldCharType="separate"/>
            </w:r>
            <w:r>
              <w:rPr>
                <w:noProof/>
                <w:webHidden/>
              </w:rPr>
              <w:t>5</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89" w:history="1">
            <w:r w:rsidRPr="00312E45">
              <w:rPr>
                <w:rStyle w:val="Hyperlink"/>
                <w:noProof/>
              </w:rPr>
              <w:t>Blood donation, processing, storage and use; blood substitutes</w:t>
            </w:r>
            <w:r>
              <w:rPr>
                <w:noProof/>
                <w:webHidden/>
              </w:rPr>
              <w:tab/>
            </w:r>
            <w:r>
              <w:rPr>
                <w:noProof/>
                <w:webHidden/>
              </w:rPr>
              <w:fldChar w:fldCharType="begin"/>
            </w:r>
            <w:r>
              <w:rPr>
                <w:noProof/>
                <w:webHidden/>
              </w:rPr>
              <w:instrText xml:space="preserve"> PAGEREF _Toc362333789 \h </w:instrText>
            </w:r>
            <w:r>
              <w:rPr>
                <w:noProof/>
                <w:webHidden/>
              </w:rPr>
            </w:r>
            <w:r>
              <w:rPr>
                <w:noProof/>
                <w:webHidden/>
              </w:rPr>
              <w:fldChar w:fldCharType="separate"/>
            </w:r>
            <w:r>
              <w:rPr>
                <w:noProof/>
                <w:webHidden/>
              </w:rPr>
              <w:t>5</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90" w:history="1">
            <w:r w:rsidRPr="00312E45">
              <w:rPr>
                <w:rStyle w:val="Hyperlink"/>
                <w:noProof/>
              </w:rPr>
              <w:t>Devices</w:t>
            </w:r>
            <w:r>
              <w:rPr>
                <w:noProof/>
                <w:webHidden/>
              </w:rPr>
              <w:tab/>
            </w:r>
            <w:r>
              <w:rPr>
                <w:noProof/>
                <w:webHidden/>
              </w:rPr>
              <w:fldChar w:fldCharType="begin"/>
            </w:r>
            <w:r>
              <w:rPr>
                <w:noProof/>
                <w:webHidden/>
              </w:rPr>
              <w:instrText xml:space="preserve"> PAGEREF _Toc362333790 \h </w:instrText>
            </w:r>
            <w:r>
              <w:rPr>
                <w:noProof/>
                <w:webHidden/>
              </w:rPr>
            </w:r>
            <w:r>
              <w:rPr>
                <w:noProof/>
                <w:webHidden/>
              </w:rPr>
              <w:fldChar w:fldCharType="separate"/>
            </w:r>
            <w:r>
              <w:rPr>
                <w:noProof/>
                <w:webHidden/>
              </w:rPr>
              <w:t>6</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91" w:history="1">
            <w:r w:rsidRPr="00312E45">
              <w:rPr>
                <w:rStyle w:val="Hyperlink"/>
                <w:noProof/>
              </w:rPr>
              <w:t>Other</w:t>
            </w:r>
            <w:r>
              <w:rPr>
                <w:noProof/>
                <w:webHidden/>
              </w:rPr>
              <w:tab/>
            </w:r>
            <w:r>
              <w:rPr>
                <w:noProof/>
                <w:webHidden/>
              </w:rPr>
              <w:fldChar w:fldCharType="begin"/>
            </w:r>
            <w:r>
              <w:rPr>
                <w:noProof/>
                <w:webHidden/>
              </w:rPr>
              <w:instrText xml:space="preserve"> PAGEREF _Toc362333791 \h </w:instrText>
            </w:r>
            <w:r>
              <w:rPr>
                <w:noProof/>
                <w:webHidden/>
              </w:rPr>
            </w:r>
            <w:r>
              <w:rPr>
                <w:noProof/>
                <w:webHidden/>
              </w:rPr>
              <w:fldChar w:fldCharType="separate"/>
            </w:r>
            <w:r>
              <w:rPr>
                <w:noProof/>
                <w:webHidden/>
              </w:rPr>
              <w:t>6</w:t>
            </w:r>
            <w:r>
              <w:rPr>
                <w:noProof/>
                <w:webHidden/>
              </w:rPr>
              <w:fldChar w:fldCharType="end"/>
            </w:r>
          </w:hyperlink>
        </w:p>
        <w:p w:rsidR="0044518E" w:rsidRDefault="0044518E">
          <w:pPr>
            <w:pStyle w:val="TOC1"/>
            <w:tabs>
              <w:tab w:val="left" w:pos="440"/>
              <w:tab w:val="right" w:leader="dot" w:pos="9016"/>
            </w:tabs>
            <w:rPr>
              <w:rFonts w:eastAsiaTheme="minorEastAsia"/>
              <w:noProof/>
              <w:lang w:eastAsia="en-AU"/>
            </w:rPr>
          </w:pPr>
          <w:hyperlink w:anchor="_Toc362333792" w:history="1">
            <w:r w:rsidRPr="00312E45">
              <w:rPr>
                <w:rStyle w:val="Hyperlink"/>
                <w:noProof/>
              </w:rPr>
              <w:t>3.</w:t>
            </w:r>
            <w:r>
              <w:rPr>
                <w:rFonts w:eastAsiaTheme="minorEastAsia"/>
                <w:noProof/>
                <w:lang w:eastAsia="en-AU"/>
              </w:rPr>
              <w:tab/>
            </w:r>
            <w:r w:rsidRPr="00312E45">
              <w:rPr>
                <w:rStyle w:val="Hyperlink"/>
                <w:noProof/>
              </w:rPr>
              <w:t>Market structure and company news</w:t>
            </w:r>
            <w:r>
              <w:rPr>
                <w:noProof/>
                <w:webHidden/>
              </w:rPr>
              <w:tab/>
            </w:r>
            <w:r>
              <w:rPr>
                <w:noProof/>
                <w:webHidden/>
              </w:rPr>
              <w:fldChar w:fldCharType="begin"/>
            </w:r>
            <w:r>
              <w:rPr>
                <w:noProof/>
                <w:webHidden/>
              </w:rPr>
              <w:instrText xml:space="preserve"> PAGEREF _Toc362333792 \h </w:instrText>
            </w:r>
            <w:r>
              <w:rPr>
                <w:noProof/>
                <w:webHidden/>
              </w:rPr>
            </w:r>
            <w:r>
              <w:rPr>
                <w:noProof/>
                <w:webHidden/>
              </w:rPr>
              <w:fldChar w:fldCharType="separate"/>
            </w:r>
            <w:r>
              <w:rPr>
                <w:noProof/>
                <w:webHidden/>
              </w:rPr>
              <w:t>6</w:t>
            </w:r>
            <w:r>
              <w:rPr>
                <w:noProof/>
                <w:webHidden/>
              </w:rPr>
              <w:fldChar w:fldCharType="end"/>
            </w:r>
          </w:hyperlink>
        </w:p>
        <w:p w:rsidR="0044518E" w:rsidRDefault="0044518E">
          <w:pPr>
            <w:pStyle w:val="TOC1"/>
            <w:tabs>
              <w:tab w:val="left" w:pos="440"/>
              <w:tab w:val="right" w:leader="dot" w:pos="9016"/>
            </w:tabs>
            <w:rPr>
              <w:rFonts w:eastAsiaTheme="minorEastAsia"/>
              <w:noProof/>
              <w:lang w:eastAsia="en-AU"/>
            </w:rPr>
          </w:pPr>
          <w:hyperlink w:anchor="_Toc362333793" w:history="1">
            <w:r w:rsidRPr="00312E45">
              <w:rPr>
                <w:rStyle w:val="Hyperlink"/>
                <w:noProof/>
              </w:rPr>
              <w:t>4.</w:t>
            </w:r>
            <w:r>
              <w:rPr>
                <w:rFonts w:eastAsiaTheme="minorEastAsia"/>
                <w:noProof/>
                <w:lang w:eastAsia="en-AU"/>
              </w:rPr>
              <w:tab/>
            </w:r>
            <w:r w:rsidRPr="00312E45">
              <w:rPr>
                <w:rStyle w:val="Hyperlink"/>
                <w:noProof/>
              </w:rPr>
              <w:t>Country- specific events</w:t>
            </w:r>
            <w:r>
              <w:rPr>
                <w:noProof/>
                <w:webHidden/>
              </w:rPr>
              <w:tab/>
            </w:r>
            <w:r>
              <w:rPr>
                <w:noProof/>
                <w:webHidden/>
              </w:rPr>
              <w:fldChar w:fldCharType="begin"/>
            </w:r>
            <w:r>
              <w:rPr>
                <w:noProof/>
                <w:webHidden/>
              </w:rPr>
              <w:instrText xml:space="preserve"> PAGEREF _Toc362333793 \h </w:instrText>
            </w:r>
            <w:r>
              <w:rPr>
                <w:noProof/>
                <w:webHidden/>
              </w:rPr>
            </w:r>
            <w:r>
              <w:rPr>
                <w:noProof/>
                <w:webHidden/>
              </w:rPr>
              <w:fldChar w:fldCharType="separate"/>
            </w:r>
            <w:r>
              <w:rPr>
                <w:noProof/>
                <w:webHidden/>
              </w:rPr>
              <w:t>7</w:t>
            </w:r>
            <w:r>
              <w:rPr>
                <w:noProof/>
                <w:webHidden/>
              </w:rPr>
              <w:fldChar w:fldCharType="end"/>
            </w:r>
          </w:hyperlink>
        </w:p>
        <w:p w:rsidR="0044518E" w:rsidRDefault="0044518E">
          <w:pPr>
            <w:pStyle w:val="TOC1"/>
            <w:tabs>
              <w:tab w:val="left" w:pos="440"/>
              <w:tab w:val="right" w:leader="dot" w:pos="9016"/>
            </w:tabs>
            <w:rPr>
              <w:rFonts w:eastAsiaTheme="minorEastAsia"/>
              <w:noProof/>
              <w:lang w:eastAsia="en-AU"/>
            </w:rPr>
          </w:pPr>
          <w:hyperlink w:anchor="_Toc362333794" w:history="1">
            <w:r w:rsidRPr="00312E45">
              <w:rPr>
                <w:rStyle w:val="Hyperlink"/>
                <w:noProof/>
              </w:rPr>
              <w:t>5.</w:t>
            </w:r>
            <w:r>
              <w:rPr>
                <w:rFonts w:eastAsiaTheme="minorEastAsia"/>
                <w:noProof/>
                <w:lang w:eastAsia="en-AU"/>
              </w:rPr>
              <w:tab/>
            </w:r>
            <w:r w:rsidRPr="00312E45">
              <w:rPr>
                <w:rStyle w:val="Hyperlink"/>
                <w:noProof/>
              </w:rPr>
              <w:t>Safety and patient blood management</w:t>
            </w:r>
            <w:r>
              <w:rPr>
                <w:noProof/>
                <w:webHidden/>
              </w:rPr>
              <w:tab/>
            </w:r>
            <w:r>
              <w:rPr>
                <w:noProof/>
                <w:webHidden/>
              </w:rPr>
              <w:fldChar w:fldCharType="begin"/>
            </w:r>
            <w:r>
              <w:rPr>
                <w:noProof/>
                <w:webHidden/>
              </w:rPr>
              <w:instrText xml:space="preserve"> PAGEREF _Toc362333794 \h </w:instrText>
            </w:r>
            <w:r>
              <w:rPr>
                <w:noProof/>
                <w:webHidden/>
              </w:rPr>
            </w:r>
            <w:r>
              <w:rPr>
                <w:noProof/>
                <w:webHidden/>
              </w:rPr>
              <w:fldChar w:fldCharType="separate"/>
            </w:r>
            <w:r>
              <w:rPr>
                <w:noProof/>
                <w:webHidden/>
              </w:rPr>
              <w:t>8</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95" w:history="1">
            <w:r w:rsidRPr="00312E45">
              <w:rPr>
                <w:rStyle w:val="Hyperlink"/>
                <w:noProof/>
              </w:rPr>
              <w:t>Appropriate transfusion</w:t>
            </w:r>
            <w:r>
              <w:rPr>
                <w:noProof/>
                <w:webHidden/>
              </w:rPr>
              <w:tab/>
            </w:r>
            <w:r>
              <w:rPr>
                <w:noProof/>
                <w:webHidden/>
              </w:rPr>
              <w:fldChar w:fldCharType="begin"/>
            </w:r>
            <w:r>
              <w:rPr>
                <w:noProof/>
                <w:webHidden/>
              </w:rPr>
              <w:instrText xml:space="preserve"> PAGEREF _Toc362333795 \h </w:instrText>
            </w:r>
            <w:r>
              <w:rPr>
                <w:noProof/>
                <w:webHidden/>
              </w:rPr>
            </w:r>
            <w:r>
              <w:rPr>
                <w:noProof/>
                <w:webHidden/>
              </w:rPr>
              <w:fldChar w:fldCharType="separate"/>
            </w:r>
            <w:r>
              <w:rPr>
                <w:noProof/>
                <w:webHidden/>
              </w:rPr>
              <w:t>8</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96" w:history="1">
            <w:r w:rsidRPr="00312E45">
              <w:rPr>
                <w:rStyle w:val="Hyperlink"/>
                <w:noProof/>
              </w:rPr>
              <w:t>Treating iron deficiency</w:t>
            </w:r>
            <w:r>
              <w:rPr>
                <w:noProof/>
                <w:webHidden/>
              </w:rPr>
              <w:tab/>
            </w:r>
            <w:r>
              <w:rPr>
                <w:noProof/>
                <w:webHidden/>
              </w:rPr>
              <w:fldChar w:fldCharType="begin"/>
            </w:r>
            <w:r>
              <w:rPr>
                <w:noProof/>
                <w:webHidden/>
              </w:rPr>
              <w:instrText xml:space="preserve"> PAGEREF _Toc362333796 \h </w:instrText>
            </w:r>
            <w:r>
              <w:rPr>
                <w:noProof/>
                <w:webHidden/>
              </w:rPr>
            </w:r>
            <w:r>
              <w:rPr>
                <w:noProof/>
                <w:webHidden/>
              </w:rPr>
              <w:fldChar w:fldCharType="separate"/>
            </w:r>
            <w:r>
              <w:rPr>
                <w:noProof/>
                <w:webHidden/>
              </w:rPr>
              <w:t>9</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797" w:history="1">
            <w:r w:rsidRPr="00312E45">
              <w:rPr>
                <w:rStyle w:val="Hyperlink"/>
                <w:noProof/>
              </w:rPr>
              <w:t>Other</w:t>
            </w:r>
            <w:r>
              <w:rPr>
                <w:noProof/>
                <w:webHidden/>
              </w:rPr>
              <w:tab/>
            </w:r>
            <w:r>
              <w:rPr>
                <w:noProof/>
                <w:webHidden/>
              </w:rPr>
              <w:fldChar w:fldCharType="begin"/>
            </w:r>
            <w:r>
              <w:rPr>
                <w:noProof/>
                <w:webHidden/>
              </w:rPr>
              <w:instrText xml:space="preserve"> PAGEREF _Toc362333797 \h </w:instrText>
            </w:r>
            <w:r>
              <w:rPr>
                <w:noProof/>
                <w:webHidden/>
              </w:rPr>
            </w:r>
            <w:r>
              <w:rPr>
                <w:noProof/>
                <w:webHidden/>
              </w:rPr>
              <w:fldChar w:fldCharType="separate"/>
            </w:r>
            <w:r>
              <w:rPr>
                <w:noProof/>
                <w:webHidden/>
              </w:rPr>
              <w:t>9</w:t>
            </w:r>
            <w:r>
              <w:rPr>
                <w:noProof/>
                <w:webHidden/>
              </w:rPr>
              <w:fldChar w:fldCharType="end"/>
            </w:r>
          </w:hyperlink>
        </w:p>
        <w:p w:rsidR="0044518E" w:rsidRDefault="0044518E">
          <w:pPr>
            <w:pStyle w:val="TOC1"/>
            <w:tabs>
              <w:tab w:val="left" w:pos="440"/>
              <w:tab w:val="right" w:leader="dot" w:pos="9016"/>
            </w:tabs>
            <w:rPr>
              <w:rFonts w:eastAsiaTheme="minorEastAsia"/>
              <w:noProof/>
              <w:lang w:eastAsia="en-AU"/>
            </w:rPr>
          </w:pPr>
          <w:hyperlink w:anchor="_Toc362333798" w:history="1">
            <w:r w:rsidRPr="00312E45">
              <w:rPr>
                <w:rStyle w:val="Hyperlink"/>
                <w:noProof/>
              </w:rPr>
              <w:t>6.</w:t>
            </w:r>
            <w:r>
              <w:rPr>
                <w:rFonts w:eastAsiaTheme="minorEastAsia"/>
                <w:noProof/>
                <w:lang w:eastAsia="en-AU"/>
              </w:rPr>
              <w:tab/>
            </w:r>
            <w:r w:rsidRPr="00312E45">
              <w:rPr>
                <w:rStyle w:val="Hyperlink"/>
                <w:noProof/>
              </w:rPr>
              <w:t>Research</w:t>
            </w:r>
            <w:r>
              <w:rPr>
                <w:noProof/>
                <w:webHidden/>
              </w:rPr>
              <w:tab/>
            </w:r>
            <w:r>
              <w:rPr>
                <w:noProof/>
                <w:webHidden/>
              </w:rPr>
              <w:fldChar w:fldCharType="begin"/>
            </w:r>
            <w:r>
              <w:rPr>
                <w:noProof/>
                <w:webHidden/>
              </w:rPr>
              <w:instrText xml:space="preserve"> PAGEREF _Toc362333798 \h </w:instrText>
            </w:r>
            <w:r>
              <w:rPr>
                <w:noProof/>
                <w:webHidden/>
              </w:rPr>
            </w:r>
            <w:r>
              <w:rPr>
                <w:noProof/>
                <w:webHidden/>
              </w:rPr>
              <w:fldChar w:fldCharType="separate"/>
            </w:r>
            <w:r>
              <w:rPr>
                <w:noProof/>
                <w:webHidden/>
              </w:rPr>
              <w:t>10</w:t>
            </w:r>
            <w:r>
              <w:rPr>
                <w:noProof/>
                <w:webHidden/>
              </w:rPr>
              <w:fldChar w:fldCharType="end"/>
            </w:r>
          </w:hyperlink>
        </w:p>
        <w:p w:rsidR="0044518E" w:rsidRDefault="0044518E">
          <w:pPr>
            <w:pStyle w:val="TOC1"/>
            <w:tabs>
              <w:tab w:val="left" w:pos="440"/>
              <w:tab w:val="right" w:leader="dot" w:pos="9016"/>
            </w:tabs>
            <w:rPr>
              <w:rFonts w:eastAsiaTheme="minorEastAsia"/>
              <w:noProof/>
              <w:lang w:eastAsia="en-AU"/>
            </w:rPr>
          </w:pPr>
          <w:hyperlink w:anchor="_Toc362333799" w:history="1">
            <w:r w:rsidRPr="00312E45">
              <w:rPr>
                <w:rStyle w:val="Hyperlink"/>
                <w:noProof/>
              </w:rPr>
              <w:t>7.</w:t>
            </w:r>
            <w:r>
              <w:rPr>
                <w:rFonts w:eastAsiaTheme="minorEastAsia"/>
                <w:noProof/>
                <w:lang w:eastAsia="en-AU"/>
              </w:rPr>
              <w:tab/>
            </w:r>
            <w:r w:rsidRPr="00312E45">
              <w:rPr>
                <w:rStyle w:val="Hyperlink"/>
                <w:noProof/>
              </w:rPr>
              <w:t>Legal actions and enquiries</w:t>
            </w:r>
            <w:r>
              <w:rPr>
                <w:noProof/>
                <w:webHidden/>
              </w:rPr>
              <w:tab/>
            </w:r>
            <w:r>
              <w:rPr>
                <w:noProof/>
                <w:webHidden/>
              </w:rPr>
              <w:fldChar w:fldCharType="begin"/>
            </w:r>
            <w:r>
              <w:rPr>
                <w:noProof/>
                <w:webHidden/>
              </w:rPr>
              <w:instrText xml:space="preserve"> PAGEREF _Toc362333799 \h </w:instrText>
            </w:r>
            <w:r>
              <w:rPr>
                <w:noProof/>
                <w:webHidden/>
              </w:rPr>
            </w:r>
            <w:r>
              <w:rPr>
                <w:noProof/>
                <w:webHidden/>
              </w:rPr>
              <w:fldChar w:fldCharType="separate"/>
            </w:r>
            <w:r>
              <w:rPr>
                <w:noProof/>
                <w:webHidden/>
              </w:rPr>
              <w:t>12</w:t>
            </w:r>
            <w:r>
              <w:rPr>
                <w:noProof/>
                <w:webHidden/>
              </w:rPr>
              <w:fldChar w:fldCharType="end"/>
            </w:r>
          </w:hyperlink>
        </w:p>
        <w:p w:rsidR="0044518E" w:rsidRDefault="0044518E">
          <w:pPr>
            <w:pStyle w:val="TOC1"/>
            <w:tabs>
              <w:tab w:val="left" w:pos="440"/>
              <w:tab w:val="right" w:leader="dot" w:pos="9016"/>
            </w:tabs>
            <w:rPr>
              <w:rFonts w:eastAsiaTheme="minorEastAsia"/>
              <w:noProof/>
              <w:lang w:eastAsia="en-AU"/>
            </w:rPr>
          </w:pPr>
          <w:hyperlink w:anchor="_Toc362333800" w:history="1">
            <w:r w:rsidRPr="00312E45">
              <w:rPr>
                <w:rStyle w:val="Hyperlink"/>
                <w:noProof/>
              </w:rPr>
              <w:t>8.</w:t>
            </w:r>
            <w:r>
              <w:rPr>
                <w:rFonts w:eastAsiaTheme="minorEastAsia"/>
                <w:noProof/>
                <w:lang w:eastAsia="en-AU"/>
              </w:rPr>
              <w:tab/>
            </w:r>
            <w:r w:rsidRPr="00312E45">
              <w:rPr>
                <w:rStyle w:val="Hyperlink"/>
                <w:noProof/>
              </w:rPr>
              <w:t>Infectious diseases</w:t>
            </w:r>
            <w:r>
              <w:rPr>
                <w:noProof/>
                <w:webHidden/>
              </w:rPr>
              <w:tab/>
            </w:r>
            <w:r>
              <w:rPr>
                <w:noProof/>
                <w:webHidden/>
              </w:rPr>
              <w:fldChar w:fldCharType="begin"/>
            </w:r>
            <w:r>
              <w:rPr>
                <w:noProof/>
                <w:webHidden/>
              </w:rPr>
              <w:instrText xml:space="preserve"> PAGEREF _Toc362333800 \h </w:instrText>
            </w:r>
            <w:r>
              <w:rPr>
                <w:noProof/>
                <w:webHidden/>
              </w:rPr>
            </w:r>
            <w:r>
              <w:rPr>
                <w:noProof/>
                <w:webHidden/>
              </w:rPr>
              <w:fldChar w:fldCharType="separate"/>
            </w:r>
            <w:r>
              <w:rPr>
                <w:noProof/>
                <w:webHidden/>
              </w:rPr>
              <w:t>12</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801" w:history="1">
            <w:r w:rsidRPr="00312E45">
              <w:rPr>
                <w:rStyle w:val="Hyperlink"/>
                <w:noProof/>
              </w:rPr>
              <w:t>Mosquito- borne diseases: dengue, chikungunya and malaria</w:t>
            </w:r>
            <w:r>
              <w:rPr>
                <w:noProof/>
                <w:webHidden/>
              </w:rPr>
              <w:tab/>
            </w:r>
            <w:r>
              <w:rPr>
                <w:noProof/>
                <w:webHidden/>
              </w:rPr>
              <w:fldChar w:fldCharType="begin"/>
            </w:r>
            <w:r>
              <w:rPr>
                <w:noProof/>
                <w:webHidden/>
              </w:rPr>
              <w:instrText xml:space="preserve"> PAGEREF _Toc362333801 \h </w:instrText>
            </w:r>
            <w:r>
              <w:rPr>
                <w:noProof/>
                <w:webHidden/>
              </w:rPr>
            </w:r>
            <w:r>
              <w:rPr>
                <w:noProof/>
                <w:webHidden/>
              </w:rPr>
              <w:fldChar w:fldCharType="separate"/>
            </w:r>
            <w:r>
              <w:rPr>
                <w:noProof/>
                <w:webHidden/>
              </w:rPr>
              <w:t>12</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802" w:history="1">
            <w:r w:rsidRPr="00312E45">
              <w:rPr>
                <w:rStyle w:val="Hyperlink"/>
                <w:noProof/>
              </w:rPr>
              <w:t>Influenza: strains, spread, prevention and treatment</w:t>
            </w:r>
            <w:r>
              <w:rPr>
                <w:noProof/>
                <w:webHidden/>
              </w:rPr>
              <w:tab/>
            </w:r>
            <w:r>
              <w:rPr>
                <w:noProof/>
                <w:webHidden/>
              </w:rPr>
              <w:fldChar w:fldCharType="begin"/>
            </w:r>
            <w:r>
              <w:rPr>
                <w:noProof/>
                <w:webHidden/>
              </w:rPr>
              <w:instrText xml:space="preserve"> PAGEREF _Toc362333802 \h </w:instrText>
            </w:r>
            <w:r>
              <w:rPr>
                <w:noProof/>
                <w:webHidden/>
              </w:rPr>
            </w:r>
            <w:r>
              <w:rPr>
                <w:noProof/>
                <w:webHidden/>
              </w:rPr>
              <w:fldChar w:fldCharType="separate"/>
            </w:r>
            <w:r>
              <w:rPr>
                <w:noProof/>
                <w:webHidden/>
              </w:rPr>
              <w:t>13</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803" w:history="1">
            <w:r w:rsidRPr="00312E45">
              <w:rPr>
                <w:rStyle w:val="Hyperlink"/>
                <w:noProof/>
              </w:rPr>
              <w:t>MERS-CoV</w:t>
            </w:r>
            <w:r>
              <w:rPr>
                <w:noProof/>
                <w:webHidden/>
              </w:rPr>
              <w:tab/>
            </w:r>
            <w:r>
              <w:rPr>
                <w:noProof/>
                <w:webHidden/>
              </w:rPr>
              <w:fldChar w:fldCharType="begin"/>
            </w:r>
            <w:r>
              <w:rPr>
                <w:noProof/>
                <w:webHidden/>
              </w:rPr>
              <w:instrText xml:space="preserve"> PAGEREF _Toc362333803 \h </w:instrText>
            </w:r>
            <w:r>
              <w:rPr>
                <w:noProof/>
                <w:webHidden/>
              </w:rPr>
            </w:r>
            <w:r>
              <w:rPr>
                <w:noProof/>
                <w:webHidden/>
              </w:rPr>
              <w:fldChar w:fldCharType="separate"/>
            </w:r>
            <w:r>
              <w:rPr>
                <w:noProof/>
                <w:webHidden/>
              </w:rPr>
              <w:t>14</w:t>
            </w:r>
            <w:r>
              <w:rPr>
                <w:noProof/>
                <w:webHidden/>
              </w:rPr>
              <w:fldChar w:fldCharType="end"/>
            </w:r>
          </w:hyperlink>
        </w:p>
        <w:p w:rsidR="0044518E" w:rsidRDefault="0044518E">
          <w:pPr>
            <w:pStyle w:val="TOC3"/>
            <w:tabs>
              <w:tab w:val="right" w:leader="dot" w:pos="9016"/>
            </w:tabs>
            <w:rPr>
              <w:rFonts w:eastAsiaTheme="minorEastAsia"/>
              <w:noProof/>
              <w:lang w:eastAsia="en-AU"/>
            </w:rPr>
          </w:pPr>
          <w:hyperlink w:anchor="_Toc362333804" w:history="1">
            <w:r w:rsidRPr="00312E45">
              <w:rPr>
                <w:rStyle w:val="Hyperlink"/>
                <w:noProof/>
              </w:rPr>
              <w:t>Other diseases: occurrence, prevention and treatment</w:t>
            </w:r>
            <w:r>
              <w:rPr>
                <w:noProof/>
                <w:webHidden/>
              </w:rPr>
              <w:tab/>
            </w:r>
            <w:r>
              <w:rPr>
                <w:noProof/>
                <w:webHidden/>
              </w:rPr>
              <w:fldChar w:fldCharType="begin"/>
            </w:r>
            <w:r>
              <w:rPr>
                <w:noProof/>
                <w:webHidden/>
              </w:rPr>
              <w:instrText xml:space="preserve"> PAGEREF _Toc362333804 \h </w:instrText>
            </w:r>
            <w:r>
              <w:rPr>
                <w:noProof/>
                <w:webHidden/>
              </w:rPr>
            </w:r>
            <w:r>
              <w:rPr>
                <w:noProof/>
                <w:webHidden/>
              </w:rPr>
              <w:fldChar w:fldCharType="separate"/>
            </w:r>
            <w:r>
              <w:rPr>
                <w:noProof/>
                <w:webHidden/>
              </w:rPr>
              <w:t>14</w:t>
            </w:r>
            <w:r>
              <w:rPr>
                <w:noProof/>
                <w:webHidden/>
              </w:rPr>
              <w:fldChar w:fldCharType="end"/>
            </w:r>
          </w:hyperlink>
        </w:p>
        <w:p w:rsidR="00B375E4" w:rsidRPr="00B375E4" w:rsidRDefault="00B375E4">
          <w:pPr>
            <w:rPr>
              <w:b/>
            </w:rPr>
          </w:pPr>
          <w:r w:rsidRPr="00B375E4">
            <w:rPr>
              <w:b/>
              <w:bCs/>
              <w:noProof/>
            </w:rPr>
            <w:fldChar w:fldCharType="end"/>
          </w:r>
        </w:p>
      </w:sdtContent>
    </w:sdt>
    <w:p w:rsidR="00AF3075" w:rsidRDefault="00AF3075" w:rsidP="00AF3075">
      <w:pPr>
        <w:pStyle w:val="Heading1"/>
        <w:numPr>
          <w:ilvl w:val="0"/>
          <w:numId w:val="2"/>
        </w:numPr>
        <w:ind w:left="360"/>
        <w:rPr>
          <w:color w:val="FF0000"/>
        </w:rPr>
      </w:pPr>
      <w:bookmarkStart w:id="0" w:name="_Toc362333781"/>
      <w:r w:rsidRPr="00AF3075">
        <w:rPr>
          <w:color w:val="FF0000"/>
        </w:rPr>
        <w:t>Products</w:t>
      </w:r>
      <w:bookmarkEnd w:id="0"/>
    </w:p>
    <w:p w:rsidR="001C2106" w:rsidRPr="001C2106" w:rsidRDefault="001C2106" w:rsidP="00EE0F67">
      <w:pPr>
        <w:spacing w:after="0" w:line="240" w:lineRule="auto"/>
      </w:pPr>
      <w:r w:rsidRPr="00DD70B8">
        <w:rPr>
          <w:rFonts w:ascii="Arial" w:hAnsi="Arial" w:cs="Arial"/>
          <w:i/>
        </w:rPr>
        <w:t xml:space="preserve">Here the NBA follows the progress in research and clinical trials that may within a reasonable timeframe make new products available, or may lead to new uses or changes in use for existing products.  </w:t>
      </w:r>
    </w:p>
    <w:p w:rsidR="00D54169" w:rsidRPr="00BE3CE1" w:rsidRDefault="00D87F0C" w:rsidP="00C8156E">
      <w:pPr>
        <w:pStyle w:val="Heading3"/>
        <w:spacing w:line="240" w:lineRule="auto"/>
      </w:pPr>
      <w:bookmarkStart w:id="1" w:name="_Toc362333782"/>
      <w:r w:rsidRPr="00BE3CE1">
        <w:t>Haemophilia treatments</w:t>
      </w:r>
      <w:r w:rsidR="00BE3CE1" w:rsidRPr="00BE3CE1">
        <w:t xml:space="preserve"> – highlights from the XXIV Congress of the International Society on Thrombosis and Haemostasis (ISTH), June 29-July 4, 2013, in Amsterdam</w:t>
      </w:r>
      <w:r w:rsidR="00BE3CE1">
        <w:t>.</w:t>
      </w:r>
      <w:bookmarkEnd w:id="1"/>
    </w:p>
    <w:p w:rsidR="008272AD" w:rsidRPr="00C76D17" w:rsidRDefault="003E6D4F" w:rsidP="008272AD">
      <w:pPr>
        <w:pStyle w:val="ListParagraph"/>
        <w:numPr>
          <w:ilvl w:val="1"/>
          <w:numId w:val="3"/>
        </w:numPr>
        <w:spacing w:line="240" w:lineRule="auto"/>
        <w:rPr>
          <w:rFonts w:ascii="Arial" w:hAnsi="Arial" w:cs="Arial"/>
        </w:rPr>
      </w:pPr>
      <w:proofErr w:type="spellStart"/>
      <w:r w:rsidRPr="00C76D17">
        <w:rPr>
          <w:rFonts w:ascii="Arial" w:hAnsi="Arial" w:cs="Arial"/>
        </w:rPr>
        <w:t>rEVO</w:t>
      </w:r>
      <w:proofErr w:type="spellEnd"/>
      <w:r w:rsidRPr="00C76D17">
        <w:rPr>
          <w:rFonts w:ascii="Arial" w:hAnsi="Arial" w:cs="Arial"/>
        </w:rPr>
        <w:t xml:space="preserve"> Biologics</w:t>
      </w:r>
      <w:r w:rsidRPr="00C76D17">
        <w:rPr>
          <w:rStyle w:val="FootnoteReference"/>
          <w:rFonts w:ascii="Arial" w:hAnsi="Arial" w:cs="Arial"/>
        </w:rPr>
        <w:footnoteReference w:id="1"/>
      </w:r>
      <w:r w:rsidRPr="00C76D17">
        <w:rPr>
          <w:rFonts w:ascii="Arial" w:hAnsi="Arial" w:cs="Arial"/>
        </w:rPr>
        <w:t xml:space="preserve"> completed the treatment and follow up phase of a key dose ranging study of LR769, a recombinant form of human Factor </w:t>
      </w:r>
      <w:proofErr w:type="spellStart"/>
      <w:r w:rsidRPr="00C76D17">
        <w:rPr>
          <w:rFonts w:ascii="Arial" w:hAnsi="Arial" w:cs="Arial"/>
        </w:rPr>
        <w:t>VIIa</w:t>
      </w:r>
      <w:proofErr w:type="spellEnd"/>
      <w:r w:rsidRPr="00C76D17">
        <w:rPr>
          <w:rFonts w:ascii="Arial" w:hAnsi="Arial" w:cs="Arial"/>
        </w:rPr>
        <w:t xml:space="preserve"> (</w:t>
      </w:r>
      <w:proofErr w:type="spellStart"/>
      <w:r w:rsidRPr="00C76D17">
        <w:rPr>
          <w:rFonts w:ascii="Arial" w:hAnsi="Arial" w:cs="Arial"/>
        </w:rPr>
        <w:t>rhFVIIa</w:t>
      </w:r>
      <w:proofErr w:type="spellEnd"/>
      <w:r w:rsidRPr="00C76D17">
        <w:rPr>
          <w:rFonts w:ascii="Arial" w:hAnsi="Arial" w:cs="Arial"/>
        </w:rPr>
        <w:t xml:space="preserve">), in patients with congenital haemophilia A or B with inhibitors to factor VIII or IX.  Results from the study were presented at the </w:t>
      </w:r>
      <w:r w:rsidR="00BE3CE1" w:rsidRPr="00C76D17">
        <w:rPr>
          <w:rFonts w:ascii="Arial" w:hAnsi="Arial" w:cs="Arial"/>
        </w:rPr>
        <w:t>c</w:t>
      </w:r>
      <w:r w:rsidRPr="00C76D17">
        <w:rPr>
          <w:rFonts w:ascii="Arial" w:hAnsi="Arial" w:cs="Arial"/>
        </w:rPr>
        <w:t>ongress</w:t>
      </w:r>
      <w:r w:rsidR="00BE3CE1" w:rsidRPr="00C76D17">
        <w:rPr>
          <w:rFonts w:ascii="Arial" w:hAnsi="Arial" w:cs="Arial"/>
        </w:rPr>
        <w:t>.</w:t>
      </w:r>
      <w:r w:rsidRPr="00C76D17">
        <w:rPr>
          <w:rFonts w:ascii="Arial" w:hAnsi="Arial" w:cs="Arial"/>
        </w:rPr>
        <w:t xml:space="preserve">  LR769 was developed in collaboration with LFB Biotechnologies and manufactured using proprietary </w:t>
      </w:r>
      <w:proofErr w:type="spellStart"/>
      <w:r w:rsidRPr="00C76D17">
        <w:rPr>
          <w:rFonts w:ascii="Arial" w:hAnsi="Arial" w:cs="Arial"/>
        </w:rPr>
        <w:t>rPRO</w:t>
      </w:r>
      <w:proofErr w:type="spellEnd"/>
      <w:r w:rsidRPr="00C76D17">
        <w:rPr>
          <w:rFonts w:ascii="Arial" w:hAnsi="Arial" w:cs="Arial"/>
        </w:rPr>
        <w:t xml:space="preserve"> transgenic technology. The pharmacokinetic and </w:t>
      </w:r>
      <w:proofErr w:type="spellStart"/>
      <w:r w:rsidRPr="00C76D17">
        <w:rPr>
          <w:rFonts w:ascii="Arial" w:hAnsi="Arial" w:cs="Arial"/>
        </w:rPr>
        <w:t>pharmacodynamic</w:t>
      </w:r>
      <w:proofErr w:type="spellEnd"/>
      <w:r w:rsidRPr="00C76D17">
        <w:rPr>
          <w:rFonts w:ascii="Arial" w:hAnsi="Arial" w:cs="Arial"/>
        </w:rPr>
        <w:t xml:space="preserve"> data will provide the basis for further clinical efficacy studies of LR769. </w:t>
      </w:r>
      <w:proofErr w:type="spellStart"/>
      <w:proofErr w:type="gramStart"/>
      <w:r w:rsidRPr="00C76D17">
        <w:rPr>
          <w:rFonts w:ascii="Arial" w:hAnsi="Arial" w:cs="Arial"/>
        </w:rPr>
        <w:t>rE</w:t>
      </w:r>
      <w:r w:rsidR="00BE3CE1" w:rsidRPr="00C76D17">
        <w:rPr>
          <w:rFonts w:ascii="Arial" w:hAnsi="Arial" w:cs="Arial"/>
        </w:rPr>
        <w:t>VO</w:t>
      </w:r>
      <w:proofErr w:type="spellEnd"/>
      <w:proofErr w:type="gramEnd"/>
      <w:r w:rsidR="00BE3CE1" w:rsidRPr="00C76D17">
        <w:rPr>
          <w:rFonts w:ascii="Arial" w:hAnsi="Arial" w:cs="Arial"/>
        </w:rPr>
        <w:t xml:space="preserve"> expects to initiate a Phase III</w:t>
      </w:r>
      <w:r w:rsidRPr="00C76D17">
        <w:rPr>
          <w:rFonts w:ascii="Arial" w:hAnsi="Arial" w:cs="Arial"/>
        </w:rPr>
        <w:t xml:space="preserve"> </w:t>
      </w:r>
      <w:proofErr w:type="spellStart"/>
      <w:r w:rsidRPr="00C76D17">
        <w:rPr>
          <w:rFonts w:ascii="Arial" w:hAnsi="Arial" w:cs="Arial"/>
        </w:rPr>
        <w:t>registrational</w:t>
      </w:r>
      <w:proofErr w:type="spellEnd"/>
      <w:r w:rsidRPr="00C76D17">
        <w:rPr>
          <w:rFonts w:ascii="Arial" w:hAnsi="Arial" w:cs="Arial"/>
        </w:rPr>
        <w:t xml:space="preserve"> study later this year. </w:t>
      </w:r>
    </w:p>
    <w:p w:rsidR="00781EC5" w:rsidRPr="00781EC5" w:rsidRDefault="00AE395E" w:rsidP="000B4544">
      <w:pPr>
        <w:pStyle w:val="ListParagraph"/>
        <w:numPr>
          <w:ilvl w:val="1"/>
          <w:numId w:val="3"/>
        </w:numPr>
        <w:spacing w:line="240" w:lineRule="auto"/>
        <w:rPr>
          <w:rFonts w:ascii="Arial" w:hAnsi="Arial" w:cs="Arial"/>
          <w:color w:val="7030A0"/>
        </w:rPr>
      </w:pPr>
      <w:proofErr w:type="spellStart"/>
      <w:r w:rsidRPr="00F777E7">
        <w:rPr>
          <w:rFonts w:ascii="Arial" w:hAnsi="Arial" w:cs="Arial"/>
        </w:rPr>
        <w:t>Biogen</w:t>
      </w:r>
      <w:proofErr w:type="spellEnd"/>
      <w:r w:rsidRPr="00F777E7">
        <w:rPr>
          <w:rFonts w:ascii="Arial" w:hAnsi="Arial" w:cs="Arial"/>
        </w:rPr>
        <w:t xml:space="preserve"> Idec </w:t>
      </w:r>
      <w:r w:rsidR="000B4544" w:rsidRPr="00F777E7">
        <w:rPr>
          <w:rFonts w:ascii="Arial" w:hAnsi="Arial" w:cs="Arial"/>
        </w:rPr>
        <w:t xml:space="preserve">and Swedish Orphan </w:t>
      </w:r>
      <w:proofErr w:type="spellStart"/>
      <w:r w:rsidR="000B4544" w:rsidRPr="00F777E7">
        <w:rPr>
          <w:rFonts w:ascii="Arial" w:hAnsi="Arial" w:cs="Arial"/>
        </w:rPr>
        <w:t>Biovitrium</w:t>
      </w:r>
      <w:proofErr w:type="spellEnd"/>
      <w:r w:rsidR="000B4544" w:rsidRPr="00F777E7">
        <w:rPr>
          <w:rFonts w:ascii="Arial" w:hAnsi="Arial" w:cs="Arial"/>
        </w:rPr>
        <w:t xml:space="preserve"> (</w:t>
      </w:r>
      <w:proofErr w:type="spellStart"/>
      <w:r w:rsidR="000B4544" w:rsidRPr="00F777E7">
        <w:rPr>
          <w:rFonts w:ascii="Arial" w:hAnsi="Arial" w:cs="Arial"/>
        </w:rPr>
        <w:t>Sobi</w:t>
      </w:r>
      <w:proofErr w:type="spellEnd"/>
      <w:r w:rsidR="000B4544" w:rsidRPr="00F777E7">
        <w:rPr>
          <w:rFonts w:ascii="Arial" w:hAnsi="Arial" w:cs="Arial"/>
        </w:rPr>
        <w:t xml:space="preserve">) </w:t>
      </w:r>
      <w:r w:rsidRPr="00F777E7">
        <w:rPr>
          <w:rFonts w:ascii="Arial" w:hAnsi="Arial" w:cs="Arial"/>
        </w:rPr>
        <w:t>made available data from research programs in haemophilia.</w:t>
      </w:r>
      <w:r w:rsidR="008F0E6F" w:rsidRPr="00F777E7">
        <w:rPr>
          <w:rFonts w:ascii="Arial" w:hAnsi="Arial" w:cs="Arial"/>
        </w:rPr>
        <w:t xml:space="preserve"> </w:t>
      </w:r>
      <w:r w:rsidR="004B1973" w:rsidRPr="00F777E7">
        <w:rPr>
          <w:rFonts w:ascii="Arial" w:hAnsi="Arial" w:cs="Arial"/>
        </w:rPr>
        <w:t xml:space="preserve"> </w:t>
      </w:r>
      <w:r w:rsidR="000B4544" w:rsidRPr="00F777E7">
        <w:rPr>
          <w:rFonts w:ascii="Arial" w:hAnsi="Arial" w:cs="Arial"/>
        </w:rPr>
        <w:t>They</w:t>
      </w:r>
      <w:r w:rsidRPr="00F777E7">
        <w:rPr>
          <w:rFonts w:ascii="Arial" w:hAnsi="Arial" w:cs="Arial"/>
        </w:rPr>
        <w:t xml:space="preserve"> presented new analyses of the phase III A-</w:t>
      </w:r>
      <w:r w:rsidR="0021136C">
        <w:rPr>
          <w:rFonts w:ascii="Arial" w:hAnsi="Arial" w:cs="Arial"/>
        </w:rPr>
        <w:t>L</w:t>
      </w:r>
      <w:r w:rsidRPr="00F777E7">
        <w:rPr>
          <w:rFonts w:ascii="Arial" w:hAnsi="Arial" w:cs="Arial"/>
        </w:rPr>
        <w:t>ong</w:t>
      </w:r>
      <w:r w:rsidR="00C76D17">
        <w:rPr>
          <w:rFonts w:ascii="Arial" w:hAnsi="Arial" w:cs="Arial"/>
        </w:rPr>
        <w:t xml:space="preserve"> study of </w:t>
      </w:r>
      <w:proofErr w:type="spellStart"/>
      <w:r w:rsidR="00C76D17">
        <w:rPr>
          <w:rFonts w:ascii="Arial" w:hAnsi="Arial" w:cs="Arial"/>
        </w:rPr>
        <w:t>Eloctate</w:t>
      </w:r>
      <w:proofErr w:type="spellEnd"/>
      <w:r w:rsidR="00C76D17">
        <w:rPr>
          <w:rFonts w:ascii="Arial" w:hAnsi="Arial" w:cs="Arial"/>
        </w:rPr>
        <w:t>, their long-</w:t>
      </w:r>
      <w:r w:rsidRPr="00F777E7">
        <w:rPr>
          <w:rFonts w:ascii="Arial" w:hAnsi="Arial" w:cs="Arial"/>
        </w:rPr>
        <w:t xml:space="preserve">lasting </w:t>
      </w:r>
      <w:proofErr w:type="spellStart"/>
      <w:r w:rsidRPr="00F777E7">
        <w:rPr>
          <w:rFonts w:ascii="Arial" w:hAnsi="Arial" w:cs="Arial"/>
        </w:rPr>
        <w:t>rFVIIIFc</w:t>
      </w:r>
      <w:proofErr w:type="spellEnd"/>
      <w:r w:rsidRPr="00F777E7">
        <w:rPr>
          <w:rFonts w:ascii="Arial" w:hAnsi="Arial" w:cs="Arial"/>
        </w:rPr>
        <w:t xml:space="preserve"> fusion protein; and of </w:t>
      </w:r>
      <w:r w:rsidR="000B4544" w:rsidRPr="00F777E7">
        <w:rPr>
          <w:rFonts w:ascii="Arial" w:hAnsi="Arial" w:cs="Arial"/>
        </w:rPr>
        <w:t xml:space="preserve">the </w:t>
      </w:r>
      <w:r w:rsidRPr="00F777E7">
        <w:rPr>
          <w:rFonts w:ascii="Arial" w:hAnsi="Arial" w:cs="Arial"/>
        </w:rPr>
        <w:t>B-Lon</w:t>
      </w:r>
      <w:r w:rsidR="00C76D17">
        <w:rPr>
          <w:rFonts w:ascii="Arial" w:hAnsi="Arial" w:cs="Arial"/>
        </w:rPr>
        <w:t xml:space="preserve">g </w:t>
      </w:r>
      <w:proofErr w:type="gramStart"/>
      <w:r w:rsidR="00C76D17">
        <w:rPr>
          <w:rFonts w:ascii="Arial" w:hAnsi="Arial" w:cs="Arial"/>
        </w:rPr>
        <w:t>study</w:t>
      </w:r>
      <w:proofErr w:type="gramEnd"/>
      <w:r w:rsidR="00C76D17">
        <w:rPr>
          <w:rFonts w:ascii="Arial" w:hAnsi="Arial" w:cs="Arial"/>
        </w:rPr>
        <w:t xml:space="preserve"> of </w:t>
      </w:r>
      <w:proofErr w:type="spellStart"/>
      <w:r w:rsidR="00C76D17">
        <w:rPr>
          <w:rFonts w:ascii="Arial" w:hAnsi="Arial" w:cs="Arial"/>
        </w:rPr>
        <w:t>Aprolix</w:t>
      </w:r>
      <w:proofErr w:type="spellEnd"/>
      <w:r w:rsidR="00C76D17">
        <w:rPr>
          <w:rFonts w:ascii="Arial" w:hAnsi="Arial" w:cs="Arial"/>
        </w:rPr>
        <w:t>, their long-</w:t>
      </w:r>
      <w:r w:rsidRPr="00F777E7">
        <w:rPr>
          <w:rFonts w:ascii="Arial" w:hAnsi="Arial" w:cs="Arial"/>
        </w:rPr>
        <w:t>las</w:t>
      </w:r>
      <w:r w:rsidR="006922BA">
        <w:rPr>
          <w:rFonts w:ascii="Arial" w:hAnsi="Arial" w:cs="Arial"/>
        </w:rPr>
        <w:t xml:space="preserve">ting </w:t>
      </w:r>
      <w:proofErr w:type="spellStart"/>
      <w:r w:rsidR="006922BA">
        <w:rPr>
          <w:rFonts w:ascii="Arial" w:hAnsi="Arial" w:cs="Arial"/>
        </w:rPr>
        <w:t>rFIXFc</w:t>
      </w:r>
      <w:proofErr w:type="spellEnd"/>
      <w:r w:rsidR="006922BA">
        <w:rPr>
          <w:rFonts w:ascii="Arial" w:hAnsi="Arial" w:cs="Arial"/>
        </w:rPr>
        <w:t xml:space="preserve"> fusion protein.</w:t>
      </w:r>
    </w:p>
    <w:p w:rsidR="00781EC5" w:rsidRPr="00781EC5" w:rsidRDefault="008F0E6F" w:rsidP="000B4544">
      <w:pPr>
        <w:pStyle w:val="ListParagraph"/>
        <w:numPr>
          <w:ilvl w:val="1"/>
          <w:numId w:val="3"/>
        </w:numPr>
        <w:spacing w:line="240" w:lineRule="auto"/>
        <w:rPr>
          <w:rFonts w:ascii="Arial" w:hAnsi="Arial" w:cs="Arial"/>
          <w:color w:val="7030A0"/>
        </w:rPr>
      </w:pPr>
      <w:proofErr w:type="spellStart"/>
      <w:r w:rsidRPr="00F777E7">
        <w:rPr>
          <w:rFonts w:ascii="Arial" w:hAnsi="Arial" w:cs="Arial"/>
        </w:rPr>
        <w:t>Eloctate</w:t>
      </w:r>
      <w:proofErr w:type="spellEnd"/>
      <w:r w:rsidRPr="00F777E7">
        <w:rPr>
          <w:rFonts w:ascii="Arial" w:hAnsi="Arial" w:cs="Arial"/>
        </w:rPr>
        <w:t xml:space="preserve"> was reported to control 87 per cent of bleeds with a single treatment, and 97 per cent with two or one treatments</w:t>
      </w:r>
      <w:r>
        <w:rPr>
          <w:rStyle w:val="FootnoteReference"/>
          <w:rFonts w:ascii="Arial" w:hAnsi="Arial" w:cs="Arial"/>
        </w:rPr>
        <w:footnoteReference w:id="2"/>
      </w:r>
      <w:r w:rsidRPr="00F777E7">
        <w:rPr>
          <w:rFonts w:ascii="Arial" w:hAnsi="Arial" w:cs="Arial"/>
        </w:rPr>
        <w:t xml:space="preserve">; to have exhibited prolonged thrombin </w:t>
      </w:r>
      <w:r w:rsidRPr="00F777E7">
        <w:rPr>
          <w:rFonts w:ascii="Arial" w:hAnsi="Arial" w:cs="Arial"/>
        </w:rPr>
        <w:lastRenderedPageBreak/>
        <w:t>generation activity</w:t>
      </w:r>
      <w:r w:rsidR="00BE3CE1">
        <w:rPr>
          <w:rFonts w:ascii="Arial" w:hAnsi="Arial" w:cs="Arial"/>
        </w:rPr>
        <w:t xml:space="preserve"> against a comparator</w:t>
      </w:r>
      <w:r>
        <w:rPr>
          <w:rStyle w:val="FootnoteReference"/>
          <w:rFonts w:ascii="Arial" w:hAnsi="Arial" w:cs="Arial"/>
        </w:rPr>
        <w:footnoteReference w:id="3"/>
      </w:r>
      <w:r w:rsidRPr="00F777E7">
        <w:rPr>
          <w:rFonts w:ascii="Arial" w:hAnsi="Arial" w:cs="Arial"/>
        </w:rPr>
        <w:t>; to have allowed longer intervals between prophylactic treatments than the current standard of care</w:t>
      </w:r>
      <w:r w:rsidR="004B1973">
        <w:rPr>
          <w:rStyle w:val="FootnoteReference"/>
          <w:rFonts w:ascii="Arial" w:hAnsi="Arial" w:cs="Arial"/>
        </w:rPr>
        <w:footnoteReference w:id="4"/>
      </w:r>
      <w:r w:rsidRPr="00F777E7">
        <w:rPr>
          <w:rFonts w:ascii="Arial" w:hAnsi="Arial" w:cs="Arial"/>
        </w:rPr>
        <w:t>; and to have shown high efficacy levels during surgery</w:t>
      </w:r>
      <w:r w:rsidR="004B1973">
        <w:rPr>
          <w:rStyle w:val="FootnoteReference"/>
          <w:rFonts w:ascii="Arial" w:hAnsi="Arial" w:cs="Arial"/>
        </w:rPr>
        <w:footnoteReference w:id="5"/>
      </w:r>
      <w:r w:rsidRPr="00F777E7">
        <w:rPr>
          <w:rFonts w:ascii="Arial" w:hAnsi="Arial" w:cs="Arial"/>
        </w:rPr>
        <w:t xml:space="preserve">.  </w:t>
      </w:r>
      <w:proofErr w:type="spellStart"/>
      <w:r w:rsidRPr="00F777E7">
        <w:rPr>
          <w:rFonts w:ascii="Arial" w:hAnsi="Arial" w:cs="Arial"/>
        </w:rPr>
        <w:t>Eloctate</w:t>
      </w:r>
      <w:proofErr w:type="spellEnd"/>
      <w:r w:rsidRPr="00F777E7">
        <w:rPr>
          <w:rFonts w:ascii="Arial" w:hAnsi="Arial" w:cs="Arial"/>
        </w:rPr>
        <w:t xml:space="preserve"> is under </w:t>
      </w:r>
      <w:r w:rsidR="004B1973" w:rsidRPr="00F777E7">
        <w:rPr>
          <w:rFonts w:ascii="Arial" w:hAnsi="Arial" w:cs="Arial"/>
        </w:rPr>
        <w:t xml:space="preserve">FDA </w:t>
      </w:r>
      <w:r w:rsidRPr="00F777E7">
        <w:rPr>
          <w:rFonts w:ascii="Arial" w:hAnsi="Arial" w:cs="Arial"/>
        </w:rPr>
        <w:t xml:space="preserve">review in the US and </w:t>
      </w:r>
      <w:r w:rsidR="004B1973" w:rsidRPr="00F777E7">
        <w:rPr>
          <w:rFonts w:ascii="Arial" w:hAnsi="Arial" w:cs="Arial"/>
        </w:rPr>
        <w:t xml:space="preserve">a marketing application has been submitted in </w:t>
      </w:r>
      <w:r w:rsidRPr="00F777E7">
        <w:rPr>
          <w:rFonts w:ascii="Arial" w:hAnsi="Arial" w:cs="Arial"/>
        </w:rPr>
        <w:t>Australia.</w:t>
      </w:r>
      <w:r w:rsidR="000B4544" w:rsidRPr="00F777E7">
        <w:rPr>
          <w:rFonts w:ascii="Arial" w:hAnsi="Arial" w:cs="Arial"/>
        </w:rPr>
        <w:t xml:space="preserve">  </w:t>
      </w:r>
      <w:proofErr w:type="spellStart"/>
      <w:r w:rsidR="000B4544" w:rsidRPr="00F777E7">
        <w:rPr>
          <w:rFonts w:ascii="Arial" w:hAnsi="Arial" w:cs="Arial"/>
        </w:rPr>
        <w:t>Aprolix</w:t>
      </w:r>
      <w:proofErr w:type="spellEnd"/>
      <w:r w:rsidR="000B4544" w:rsidRPr="00F777E7">
        <w:rPr>
          <w:rFonts w:ascii="Arial" w:hAnsi="Arial" w:cs="Arial"/>
        </w:rPr>
        <w:t xml:space="preserve"> was similarly reported to show efficacy and safety</w:t>
      </w:r>
      <w:r w:rsidR="000B4544">
        <w:rPr>
          <w:rStyle w:val="FootnoteReference"/>
          <w:rFonts w:ascii="Arial" w:hAnsi="Arial" w:cs="Arial"/>
        </w:rPr>
        <w:footnoteReference w:id="6"/>
      </w:r>
      <w:r w:rsidR="000B4544" w:rsidRPr="00F777E7">
        <w:rPr>
          <w:rFonts w:ascii="Arial" w:hAnsi="Arial" w:cs="Arial"/>
        </w:rPr>
        <w:t>.</w:t>
      </w:r>
      <w:r w:rsidR="00F777E7" w:rsidRPr="00F777E7">
        <w:rPr>
          <w:rFonts w:ascii="Arial" w:hAnsi="Arial" w:cs="Arial"/>
        </w:rPr>
        <w:t xml:space="preserve"> </w:t>
      </w:r>
    </w:p>
    <w:p w:rsidR="000B4544" w:rsidRPr="00D73402" w:rsidRDefault="000B4544" w:rsidP="000B4544">
      <w:pPr>
        <w:pStyle w:val="ListParagraph"/>
        <w:numPr>
          <w:ilvl w:val="1"/>
          <w:numId w:val="3"/>
        </w:numPr>
        <w:spacing w:line="240" w:lineRule="auto"/>
        <w:rPr>
          <w:rFonts w:ascii="Arial" w:hAnsi="Arial" w:cs="Arial"/>
          <w:color w:val="7030A0"/>
        </w:rPr>
      </w:pPr>
      <w:proofErr w:type="spellStart"/>
      <w:r w:rsidRPr="00F777E7">
        <w:rPr>
          <w:rFonts w:ascii="Arial" w:hAnsi="Arial" w:cs="Arial"/>
        </w:rPr>
        <w:t>Biogen</w:t>
      </w:r>
      <w:proofErr w:type="spellEnd"/>
      <w:r w:rsidRPr="00F777E7">
        <w:rPr>
          <w:rFonts w:ascii="Arial" w:hAnsi="Arial" w:cs="Arial"/>
        </w:rPr>
        <w:t xml:space="preserve"> Idec </w:t>
      </w:r>
      <w:r w:rsidR="00F777E7" w:rsidRPr="00F777E7">
        <w:rPr>
          <w:rFonts w:ascii="Arial" w:hAnsi="Arial" w:cs="Arial"/>
        </w:rPr>
        <w:t>also presented</w:t>
      </w:r>
      <w:r w:rsidR="00C76D17">
        <w:rPr>
          <w:rFonts w:ascii="Arial" w:hAnsi="Arial" w:cs="Arial"/>
        </w:rPr>
        <w:t xml:space="preserve"> data on its long-</w:t>
      </w:r>
      <w:r w:rsidRPr="00F777E7">
        <w:rPr>
          <w:rFonts w:ascii="Arial" w:hAnsi="Arial" w:cs="Arial"/>
        </w:rPr>
        <w:t xml:space="preserve">lasting </w:t>
      </w:r>
      <w:proofErr w:type="spellStart"/>
      <w:r w:rsidRPr="00F777E7">
        <w:rPr>
          <w:rFonts w:ascii="Arial" w:hAnsi="Arial" w:cs="Arial"/>
        </w:rPr>
        <w:t>FVIIa</w:t>
      </w:r>
      <w:proofErr w:type="spellEnd"/>
      <w:r w:rsidRPr="00F777E7">
        <w:rPr>
          <w:rFonts w:ascii="Arial" w:hAnsi="Arial" w:cs="Arial"/>
        </w:rPr>
        <w:t xml:space="preserve"> </w:t>
      </w:r>
      <w:proofErr w:type="spellStart"/>
      <w:r w:rsidRPr="00F777E7">
        <w:rPr>
          <w:rFonts w:ascii="Arial" w:hAnsi="Arial" w:cs="Arial"/>
        </w:rPr>
        <w:t>candidiate</w:t>
      </w:r>
      <w:proofErr w:type="spellEnd"/>
      <w:r w:rsidR="00F777E7">
        <w:rPr>
          <w:rStyle w:val="FootnoteReference"/>
          <w:rFonts w:ascii="Arial" w:hAnsi="Arial" w:cs="Arial"/>
        </w:rPr>
        <w:footnoteReference w:id="7"/>
      </w:r>
      <w:r w:rsidRPr="00F777E7">
        <w:rPr>
          <w:rFonts w:ascii="Arial" w:hAnsi="Arial" w:cs="Arial"/>
        </w:rPr>
        <w:t>.</w:t>
      </w:r>
    </w:p>
    <w:p w:rsidR="00D356EA" w:rsidRPr="00D356EA" w:rsidRDefault="00D73402" w:rsidP="00D73402">
      <w:pPr>
        <w:pStyle w:val="ListParagraph"/>
        <w:numPr>
          <w:ilvl w:val="1"/>
          <w:numId w:val="3"/>
        </w:numPr>
        <w:spacing w:line="240" w:lineRule="auto"/>
        <w:rPr>
          <w:rFonts w:ascii="Arial" w:hAnsi="Arial" w:cs="Arial"/>
          <w:b/>
          <w:lang w:val="en-US"/>
        </w:rPr>
      </w:pPr>
      <w:r w:rsidRPr="00D03CE6">
        <w:rPr>
          <w:rFonts w:ascii="Arial" w:hAnsi="Arial" w:cs="Arial"/>
        </w:rPr>
        <w:t xml:space="preserve">CSL </w:t>
      </w:r>
      <w:r w:rsidR="00BF12DC" w:rsidRPr="00D03CE6">
        <w:rPr>
          <w:rFonts w:ascii="Arial" w:hAnsi="Arial" w:cs="Arial"/>
        </w:rPr>
        <w:t xml:space="preserve">Behring </w:t>
      </w:r>
      <w:r w:rsidRPr="00D03CE6">
        <w:rPr>
          <w:rFonts w:ascii="Arial" w:hAnsi="Arial" w:cs="Arial"/>
        </w:rPr>
        <w:t xml:space="preserve">presented data from three ongoing trials: of its longer-acting </w:t>
      </w:r>
      <w:proofErr w:type="spellStart"/>
      <w:r w:rsidRPr="00D03CE6">
        <w:rPr>
          <w:rFonts w:ascii="Arial" w:hAnsi="Arial" w:cs="Arial"/>
        </w:rPr>
        <w:t>rVIIa</w:t>
      </w:r>
      <w:proofErr w:type="spellEnd"/>
      <w:r w:rsidRPr="00D03CE6">
        <w:rPr>
          <w:rFonts w:ascii="Arial" w:hAnsi="Arial" w:cs="Arial"/>
        </w:rPr>
        <w:t xml:space="preserve">-FP and </w:t>
      </w:r>
      <w:proofErr w:type="spellStart"/>
      <w:r w:rsidRPr="00D03CE6">
        <w:rPr>
          <w:rFonts w:ascii="Arial" w:hAnsi="Arial" w:cs="Arial"/>
        </w:rPr>
        <w:t>rIX</w:t>
      </w:r>
      <w:proofErr w:type="spellEnd"/>
      <w:r w:rsidRPr="00D03CE6">
        <w:rPr>
          <w:rFonts w:ascii="Arial" w:hAnsi="Arial" w:cs="Arial"/>
        </w:rPr>
        <w:t xml:space="preserve">-FP candidates based on recombinant albumin, and of its </w:t>
      </w:r>
      <w:proofErr w:type="spellStart"/>
      <w:r w:rsidRPr="00D03CE6">
        <w:rPr>
          <w:rFonts w:ascii="Arial" w:hAnsi="Arial" w:cs="Arial"/>
        </w:rPr>
        <w:t>rVIII-SingleChain</w:t>
      </w:r>
      <w:proofErr w:type="spellEnd"/>
      <w:r w:rsidRPr="00D03CE6">
        <w:rPr>
          <w:rFonts w:ascii="Arial" w:hAnsi="Arial" w:cs="Arial"/>
        </w:rPr>
        <w:t xml:space="preserve"> compound, which the company says i</w:t>
      </w:r>
      <w:r w:rsidR="00C76D17">
        <w:rPr>
          <w:rFonts w:ascii="Arial" w:hAnsi="Arial" w:cs="Arial"/>
        </w:rPr>
        <w:t>mproves the stability and half-</w:t>
      </w:r>
      <w:r w:rsidRPr="00D03CE6">
        <w:rPr>
          <w:rFonts w:ascii="Arial" w:hAnsi="Arial" w:cs="Arial"/>
        </w:rPr>
        <w:t>life of FVIII.</w:t>
      </w:r>
      <w:r w:rsidR="006922BA">
        <w:rPr>
          <w:rFonts w:ascii="Arial" w:hAnsi="Arial" w:cs="Arial"/>
        </w:rPr>
        <w:t xml:space="preserve">  </w:t>
      </w:r>
    </w:p>
    <w:p w:rsidR="00D73402" w:rsidRPr="00D03CE6" w:rsidRDefault="00D356EA" w:rsidP="00D73402">
      <w:pPr>
        <w:pStyle w:val="ListParagraph"/>
        <w:numPr>
          <w:ilvl w:val="1"/>
          <w:numId w:val="3"/>
        </w:numPr>
        <w:spacing w:line="240" w:lineRule="auto"/>
        <w:rPr>
          <w:rFonts w:ascii="Arial" w:hAnsi="Arial" w:cs="Arial"/>
          <w:b/>
          <w:lang w:val="en-US"/>
        </w:rPr>
      </w:pPr>
      <w:r>
        <w:rPr>
          <w:rFonts w:ascii="Arial" w:hAnsi="Arial" w:cs="Arial"/>
        </w:rPr>
        <w:t>CSL Behring’s</w:t>
      </w:r>
      <w:r w:rsidR="00D03CE6" w:rsidRPr="00D03CE6">
        <w:rPr>
          <w:rFonts w:ascii="Arial" w:hAnsi="Arial" w:cs="Arial"/>
        </w:rPr>
        <w:t xml:space="preserve"> </w:t>
      </w:r>
      <w:proofErr w:type="spellStart"/>
      <w:r w:rsidR="00D03CE6" w:rsidRPr="00D03CE6">
        <w:rPr>
          <w:rFonts w:ascii="Arial" w:hAnsi="Arial" w:cs="Arial"/>
        </w:rPr>
        <w:t>rFVIIa</w:t>
      </w:r>
      <w:proofErr w:type="spellEnd"/>
      <w:r w:rsidR="00D03CE6" w:rsidRPr="00D03CE6">
        <w:rPr>
          <w:rFonts w:ascii="Arial" w:hAnsi="Arial" w:cs="Arial"/>
        </w:rPr>
        <w:t xml:space="preserve">-FP (recombinant fusion protein linking coagulation factor </w:t>
      </w:r>
      <w:proofErr w:type="spellStart"/>
      <w:r w:rsidR="00D03CE6" w:rsidRPr="00D03CE6">
        <w:rPr>
          <w:rFonts w:ascii="Arial" w:hAnsi="Arial" w:cs="Arial"/>
        </w:rPr>
        <w:t>VIIa</w:t>
      </w:r>
      <w:proofErr w:type="spellEnd"/>
      <w:r w:rsidR="00D03CE6" w:rsidRPr="00D03CE6">
        <w:rPr>
          <w:rFonts w:ascii="Arial" w:hAnsi="Arial" w:cs="Arial"/>
        </w:rPr>
        <w:t xml:space="preserve"> with albumin) is designed to treat haemophilia A and haemophilia B patients with inhibitors.  The e</w:t>
      </w:r>
      <w:r w:rsidR="00C76D17">
        <w:rPr>
          <w:rFonts w:ascii="Arial" w:hAnsi="Arial" w:cs="Arial"/>
        </w:rPr>
        <w:t>xtended half-</w:t>
      </w:r>
      <w:r w:rsidR="00D03CE6" w:rsidRPr="00D03CE6">
        <w:rPr>
          <w:rFonts w:ascii="Arial" w:hAnsi="Arial" w:cs="Arial"/>
        </w:rPr>
        <w:t xml:space="preserve">life means fewer doses.  Preclinical studies </w:t>
      </w:r>
      <w:r>
        <w:rPr>
          <w:rFonts w:ascii="Arial" w:hAnsi="Arial" w:cs="Arial"/>
        </w:rPr>
        <w:t xml:space="preserve">showed </w:t>
      </w:r>
      <w:proofErr w:type="spellStart"/>
      <w:r w:rsidR="00D03CE6" w:rsidRPr="00D03CE6">
        <w:rPr>
          <w:rFonts w:ascii="Arial" w:hAnsi="Arial" w:cs="Arial"/>
        </w:rPr>
        <w:t>rVIIa</w:t>
      </w:r>
      <w:proofErr w:type="spellEnd"/>
      <w:r w:rsidR="00D03CE6" w:rsidRPr="00D03CE6">
        <w:rPr>
          <w:rFonts w:ascii="Arial" w:hAnsi="Arial" w:cs="Arial"/>
        </w:rPr>
        <w:t xml:space="preserve">-FP </w:t>
      </w:r>
      <w:r>
        <w:rPr>
          <w:rFonts w:ascii="Arial" w:hAnsi="Arial" w:cs="Arial"/>
        </w:rPr>
        <w:t xml:space="preserve">to have </w:t>
      </w:r>
      <w:r w:rsidR="00D03CE6" w:rsidRPr="00D03CE6">
        <w:rPr>
          <w:rFonts w:ascii="Arial" w:hAnsi="Arial" w:cs="Arial"/>
        </w:rPr>
        <w:t>favo</w:t>
      </w:r>
      <w:r>
        <w:rPr>
          <w:rFonts w:ascii="Arial" w:hAnsi="Arial" w:cs="Arial"/>
        </w:rPr>
        <w:t>u</w:t>
      </w:r>
      <w:r w:rsidR="00D03CE6" w:rsidRPr="00D03CE6">
        <w:rPr>
          <w:rFonts w:ascii="Arial" w:hAnsi="Arial" w:cs="Arial"/>
        </w:rPr>
        <w:t>rable pharmacokinetic properties compared with the</w:t>
      </w:r>
      <w:r>
        <w:rPr>
          <w:rFonts w:ascii="Arial" w:hAnsi="Arial" w:cs="Arial"/>
        </w:rPr>
        <w:t xml:space="preserve"> comparator</w:t>
      </w:r>
      <w:r w:rsidR="00D03CE6" w:rsidRPr="00D03CE6">
        <w:rPr>
          <w:rFonts w:ascii="Arial" w:hAnsi="Arial" w:cs="Arial"/>
        </w:rPr>
        <w:t xml:space="preserve">. Significant increases in half-life </w:t>
      </w:r>
      <w:r>
        <w:rPr>
          <w:rFonts w:ascii="Arial" w:hAnsi="Arial" w:cs="Arial"/>
        </w:rPr>
        <w:t xml:space="preserve">were observed </w:t>
      </w:r>
      <w:r w:rsidR="00D03CE6" w:rsidRPr="00D03CE6">
        <w:rPr>
          <w:rFonts w:ascii="Arial" w:hAnsi="Arial" w:cs="Arial"/>
        </w:rPr>
        <w:t xml:space="preserve">with CSL Behring’s </w:t>
      </w:r>
      <w:proofErr w:type="spellStart"/>
      <w:r w:rsidR="00D03CE6" w:rsidRPr="00D03CE6">
        <w:rPr>
          <w:rFonts w:ascii="Arial" w:hAnsi="Arial" w:cs="Arial"/>
        </w:rPr>
        <w:t>rVIIa</w:t>
      </w:r>
      <w:proofErr w:type="spellEnd"/>
      <w:r w:rsidR="00D03CE6" w:rsidRPr="00D03CE6">
        <w:rPr>
          <w:rFonts w:ascii="Arial" w:hAnsi="Arial" w:cs="Arial"/>
        </w:rPr>
        <w:t xml:space="preserve">-FP </w:t>
      </w:r>
      <w:r>
        <w:rPr>
          <w:rFonts w:ascii="Arial" w:hAnsi="Arial" w:cs="Arial"/>
        </w:rPr>
        <w:t xml:space="preserve">in </w:t>
      </w:r>
      <w:r w:rsidR="00D03CE6" w:rsidRPr="00D03CE6">
        <w:rPr>
          <w:rFonts w:ascii="Arial" w:hAnsi="Arial" w:cs="Arial"/>
        </w:rPr>
        <w:t>all animal species</w:t>
      </w:r>
      <w:r>
        <w:rPr>
          <w:rFonts w:ascii="Arial" w:hAnsi="Arial" w:cs="Arial"/>
        </w:rPr>
        <w:t xml:space="preserve"> in the trial</w:t>
      </w:r>
      <w:r w:rsidR="00D03CE6" w:rsidRPr="00D03CE6">
        <w:rPr>
          <w:rFonts w:ascii="Arial" w:hAnsi="Arial" w:cs="Arial"/>
        </w:rPr>
        <w:t>.</w:t>
      </w:r>
    </w:p>
    <w:p w:rsidR="00D73402" w:rsidRPr="009C1E11" w:rsidRDefault="00D356EA" w:rsidP="000B4544">
      <w:pPr>
        <w:pStyle w:val="ListParagraph"/>
        <w:numPr>
          <w:ilvl w:val="1"/>
          <w:numId w:val="3"/>
        </w:numPr>
        <w:spacing w:line="240" w:lineRule="auto"/>
        <w:rPr>
          <w:rFonts w:ascii="Arial" w:hAnsi="Arial" w:cs="Arial"/>
        </w:rPr>
      </w:pPr>
      <w:r>
        <w:rPr>
          <w:rFonts w:ascii="Arial" w:hAnsi="Arial" w:cs="Arial"/>
        </w:rPr>
        <w:t xml:space="preserve">CSL Behring </w:t>
      </w:r>
      <w:r w:rsidR="00BF12DC" w:rsidRPr="009C1E11">
        <w:rPr>
          <w:rFonts w:ascii="Arial" w:hAnsi="Arial" w:cs="Arial"/>
        </w:rPr>
        <w:t xml:space="preserve">reported that data showed the clinical efficacy of </w:t>
      </w:r>
      <w:proofErr w:type="spellStart"/>
      <w:r w:rsidR="00BF12DC" w:rsidRPr="009C1E11">
        <w:rPr>
          <w:rFonts w:ascii="Arial" w:hAnsi="Arial" w:cs="Arial"/>
        </w:rPr>
        <w:t>rIX</w:t>
      </w:r>
      <w:proofErr w:type="spellEnd"/>
      <w:r w:rsidR="00BF12DC" w:rsidRPr="009C1E11">
        <w:rPr>
          <w:rFonts w:ascii="Arial" w:hAnsi="Arial" w:cs="Arial"/>
        </w:rPr>
        <w:t xml:space="preserve">-FP (its recombinant fusion protein linking factor IX with albumin) with less frequent prophylactic doses than the current standard of care.  </w:t>
      </w:r>
      <w:r w:rsidR="006314C9" w:rsidRPr="009C1E11">
        <w:rPr>
          <w:rFonts w:ascii="Arial" w:hAnsi="Arial" w:cs="Arial"/>
        </w:rPr>
        <w:t>The drug was also satisfactory in trials</w:t>
      </w:r>
      <w:r w:rsidR="00C76D17">
        <w:rPr>
          <w:rFonts w:ascii="Arial" w:hAnsi="Arial" w:cs="Arial"/>
        </w:rPr>
        <w:t xml:space="preserve"> of on-</w:t>
      </w:r>
      <w:r w:rsidR="006314C9" w:rsidRPr="009C1E11">
        <w:rPr>
          <w:rFonts w:ascii="Arial" w:hAnsi="Arial" w:cs="Arial"/>
        </w:rPr>
        <w:t>demand use, with 95.3 per cent of bleeding events treated with a single infusion, and the rest requiring no more than two infusions.</w:t>
      </w:r>
    </w:p>
    <w:p w:rsidR="0040269A" w:rsidRPr="0040269A" w:rsidRDefault="009C1E11" w:rsidP="0040269A">
      <w:pPr>
        <w:pStyle w:val="ListParagraph"/>
        <w:numPr>
          <w:ilvl w:val="1"/>
          <w:numId w:val="3"/>
        </w:numPr>
        <w:spacing w:line="240" w:lineRule="auto"/>
        <w:rPr>
          <w:rFonts w:ascii="Arial" w:hAnsi="Arial" w:cs="Arial"/>
          <w:color w:val="7030A0"/>
        </w:rPr>
      </w:pPr>
      <w:r w:rsidRPr="009C1E11">
        <w:rPr>
          <w:rFonts w:ascii="Arial" w:hAnsi="Arial" w:cs="Arial"/>
        </w:rPr>
        <w:t>Pharmacokinetic results for CSL Behring’s</w:t>
      </w:r>
      <w:r>
        <w:rPr>
          <w:rFonts w:ascii="Arial" w:hAnsi="Arial" w:cs="Arial"/>
        </w:rPr>
        <w:t xml:space="preserve"> </w:t>
      </w:r>
      <w:proofErr w:type="spellStart"/>
      <w:r w:rsidRPr="009C1E11">
        <w:rPr>
          <w:rFonts w:ascii="Arial" w:hAnsi="Arial" w:cs="Arial"/>
        </w:rPr>
        <w:t>rVIII-SingleChain</w:t>
      </w:r>
      <w:proofErr w:type="spellEnd"/>
      <w:r>
        <w:rPr>
          <w:rFonts w:ascii="Arial" w:hAnsi="Arial" w:cs="Arial"/>
        </w:rPr>
        <w:t xml:space="preserve"> (</w:t>
      </w:r>
      <w:r w:rsidRPr="009C1E11">
        <w:rPr>
          <w:rFonts w:ascii="Arial" w:hAnsi="Arial" w:cs="Arial"/>
        </w:rPr>
        <w:t>investigational recombinant coagulation single-chain factor VIII) showed i</w:t>
      </w:r>
      <w:r>
        <w:rPr>
          <w:rFonts w:ascii="Arial" w:hAnsi="Arial" w:cs="Arial"/>
        </w:rPr>
        <w:t xml:space="preserve">ncreased </w:t>
      </w:r>
      <w:r w:rsidRPr="009C1E11">
        <w:rPr>
          <w:rFonts w:ascii="Arial" w:hAnsi="Arial" w:cs="Arial"/>
        </w:rPr>
        <w:t xml:space="preserve">half-life </w:t>
      </w:r>
      <w:r>
        <w:rPr>
          <w:rFonts w:ascii="Arial" w:hAnsi="Arial" w:cs="Arial"/>
        </w:rPr>
        <w:t xml:space="preserve">compared with </w:t>
      </w:r>
      <w:proofErr w:type="spellStart"/>
      <w:r w:rsidRPr="009C1E11">
        <w:rPr>
          <w:rFonts w:ascii="Arial" w:hAnsi="Arial" w:cs="Arial"/>
        </w:rPr>
        <w:t>octocog</w:t>
      </w:r>
      <w:proofErr w:type="spellEnd"/>
      <w:r w:rsidRPr="009C1E11">
        <w:rPr>
          <w:rFonts w:ascii="Arial" w:hAnsi="Arial" w:cs="Arial"/>
        </w:rPr>
        <w:t xml:space="preserve"> </w:t>
      </w:r>
      <w:proofErr w:type="spellStart"/>
      <w:r w:rsidRPr="009C1E11">
        <w:rPr>
          <w:rFonts w:ascii="Arial" w:hAnsi="Arial" w:cs="Arial"/>
        </w:rPr>
        <w:t>alfa</w:t>
      </w:r>
      <w:proofErr w:type="spellEnd"/>
      <w:r>
        <w:rPr>
          <w:rFonts w:ascii="Arial" w:hAnsi="Arial" w:cs="Arial"/>
        </w:rPr>
        <w:t xml:space="preserve">. </w:t>
      </w:r>
      <w:r w:rsidRPr="009C1E11">
        <w:rPr>
          <w:rFonts w:ascii="Arial" w:hAnsi="Arial" w:cs="Arial"/>
        </w:rPr>
        <w:t xml:space="preserve"> It </w:t>
      </w:r>
      <w:r>
        <w:rPr>
          <w:rFonts w:ascii="Arial" w:hAnsi="Arial" w:cs="Arial"/>
        </w:rPr>
        <w:t xml:space="preserve">established </w:t>
      </w:r>
      <w:r w:rsidRPr="009C1E11">
        <w:rPr>
          <w:rFonts w:ascii="Arial" w:hAnsi="Arial" w:cs="Arial"/>
        </w:rPr>
        <w:t xml:space="preserve">a safety and efficacy profile </w:t>
      </w:r>
      <w:r w:rsidR="00D03CE6">
        <w:rPr>
          <w:rFonts w:ascii="Arial" w:hAnsi="Arial" w:cs="Arial"/>
        </w:rPr>
        <w:t>to</w:t>
      </w:r>
      <w:r>
        <w:rPr>
          <w:rFonts w:ascii="Arial" w:hAnsi="Arial" w:cs="Arial"/>
        </w:rPr>
        <w:t xml:space="preserve"> support</w:t>
      </w:r>
      <w:r w:rsidRPr="009C1E11">
        <w:rPr>
          <w:rFonts w:ascii="Arial" w:hAnsi="Arial" w:cs="Arial"/>
        </w:rPr>
        <w:t xml:space="preserve"> </w:t>
      </w:r>
      <w:r>
        <w:rPr>
          <w:rFonts w:ascii="Arial" w:hAnsi="Arial" w:cs="Arial"/>
        </w:rPr>
        <w:t xml:space="preserve">proceeding </w:t>
      </w:r>
      <w:r w:rsidRPr="009C1E11">
        <w:rPr>
          <w:rFonts w:ascii="Arial" w:hAnsi="Arial" w:cs="Arial"/>
        </w:rPr>
        <w:t>to late-stage clinical development</w:t>
      </w:r>
      <w:r>
        <w:rPr>
          <w:rFonts w:ascii="Segoe UI" w:hAnsi="Segoe UI" w:cs="Segoe UI"/>
          <w:sz w:val="20"/>
          <w:szCs w:val="20"/>
        </w:rPr>
        <w:t>.</w:t>
      </w:r>
    </w:p>
    <w:p w:rsidR="0040269A" w:rsidRPr="0040269A" w:rsidRDefault="00BE3CE1" w:rsidP="0040269A">
      <w:pPr>
        <w:pStyle w:val="ListParagraph"/>
        <w:numPr>
          <w:ilvl w:val="1"/>
          <w:numId w:val="3"/>
        </w:numPr>
        <w:spacing w:line="240" w:lineRule="auto"/>
        <w:rPr>
          <w:rFonts w:ascii="Arial" w:hAnsi="Arial" w:cs="Arial"/>
          <w:color w:val="7030A0"/>
        </w:rPr>
      </w:pPr>
      <w:r w:rsidRPr="0040269A">
        <w:rPr>
          <w:rFonts w:ascii="Arial" w:hAnsi="Arial" w:cs="Arial"/>
        </w:rPr>
        <w:t xml:space="preserve">Baxter International presented two complementary studies of the ADVATE profile: an analysis of post-marketing data from 1,200 haemophilia </w:t>
      </w:r>
      <w:proofErr w:type="gramStart"/>
      <w:r w:rsidRPr="0040269A">
        <w:rPr>
          <w:rFonts w:ascii="Arial" w:hAnsi="Arial" w:cs="Arial"/>
        </w:rPr>
        <w:t>A</w:t>
      </w:r>
      <w:proofErr w:type="gramEnd"/>
      <w:r w:rsidRPr="0040269A">
        <w:rPr>
          <w:rFonts w:ascii="Arial" w:hAnsi="Arial" w:cs="Arial"/>
        </w:rPr>
        <w:t xml:space="preserve"> patients and 15 countries and safety findings from a 10-year database of 12 clinical trials.  The company said the meta-analysis of post-authorization safety studies underlined the product safety and effectiveness and the low rate of inhibitor development; while the integrated safety analysis confirmed safety and tolerability in children and adults with moderately severe or severe haemophilia and did not </w:t>
      </w:r>
      <w:r w:rsidR="00DE235A">
        <w:rPr>
          <w:rFonts w:ascii="Arial" w:hAnsi="Arial" w:cs="Arial"/>
        </w:rPr>
        <w:t>bring to light</w:t>
      </w:r>
      <w:r w:rsidRPr="0040269A">
        <w:rPr>
          <w:rFonts w:ascii="Arial" w:hAnsi="Arial" w:cs="Arial"/>
        </w:rPr>
        <w:t xml:space="preserve"> any new safety signals. </w:t>
      </w:r>
    </w:p>
    <w:p w:rsidR="0040269A" w:rsidRPr="009C7F66" w:rsidRDefault="0040269A" w:rsidP="009C7F66">
      <w:pPr>
        <w:pStyle w:val="ListParagraph"/>
        <w:numPr>
          <w:ilvl w:val="1"/>
          <w:numId w:val="3"/>
        </w:numPr>
        <w:spacing w:line="240" w:lineRule="auto"/>
        <w:rPr>
          <w:rFonts w:ascii="Arial" w:hAnsi="Arial" w:cs="Arial"/>
          <w:color w:val="7030A0"/>
        </w:rPr>
      </w:pPr>
      <w:proofErr w:type="spellStart"/>
      <w:r w:rsidRPr="0040269A">
        <w:rPr>
          <w:rFonts w:ascii="Arial" w:hAnsi="Arial" w:cs="Arial"/>
        </w:rPr>
        <w:t>Alnylam</w:t>
      </w:r>
      <w:proofErr w:type="spellEnd"/>
      <w:r w:rsidRPr="0040269A">
        <w:rPr>
          <w:rFonts w:ascii="Arial" w:hAnsi="Arial" w:cs="Arial"/>
        </w:rPr>
        <w:t xml:space="preserve"> Pharmaceutical presented new pre-clinical data from its </w:t>
      </w:r>
      <w:proofErr w:type="spellStart"/>
      <w:r w:rsidRPr="0040269A">
        <w:rPr>
          <w:rFonts w:ascii="Arial" w:hAnsi="Arial" w:cs="Arial"/>
        </w:rPr>
        <w:t>RNAi</w:t>
      </w:r>
      <w:proofErr w:type="spellEnd"/>
      <w:r w:rsidRPr="0040269A">
        <w:rPr>
          <w:rFonts w:ascii="Arial" w:hAnsi="Arial" w:cs="Arial"/>
        </w:rPr>
        <w:t xml:space="preserve"> therapeutic program for the treatment of haemophilia and rare bleeding disorders.  The company said the data demonstrated that ALN-AT3, a subcutaneously administered </w:t>
      </w:r>
      <w:proofErr w:type="spellStart"/>
      <w:r w:rsidRPr="0040269A">
        <w:rPr>
          <w:rFonts w:ascii="Arial" w:hAnsi="Arial" w:cs="Arial"/>
        </w:rPr>
        <w:t>RNAi</w:t>
      </w:r>
      <w:proofErr w:type="spellEnd"/>
      <w:r w:rsidRPr="0040269A">
        <w:rPr>
          <w:rFonts w:ascii="Arial" w:hAnsi="Arial" w:cs="Arial"/>
        </w:rPr>
        <w:t xml:space="preserve"> therapeutic targeting </w:t>
      </w:r>
      <w:proofErr w:type="spellStart"/>
      <w:r w:rsidRPr="0040269A">
        <w:rPr>
          <w:rFonts w:ascii="Arial" w:hAnsi="Arial" w:cs="Arial"/>
        </w:rPr>
        <w:t>antithrombin</w:t>
      </w:r>
      <w:proofErr w:type="spellEnd"/>
      <w:r w:rsidRPr="0040269A">
        <w:rPr>
          <w:rFonts w:ascii="Arial" w:hAnsi="Arial" w:cs="Arial"/>
        </w:rPr>
        <w:t>, can normalize thrombin generation and improve haemostasis in haemophilia mice; as well as correct thrombin generation in a non-</w:t>
      </w:r>
      <w:r w:rsidRPr="0040269A">
        <w:rPr>
          <w:rFonts w:ascii="Arial" w:hAnsi="Arial" w:cs="Arial"/>
        </w:rPr>
        <w:lastRenderedPageBreak/>
        <w:t xml:space="preserve">human primate haemophilia "inhibitor" model. </w:t>
      </w:r>
      <w:proofErr w:type="spellStart"/>
      <w:r w:rsidRPr="0040269A">
        <w:rPr>
          <w:rFonts w:ascii="Arial" w:hAnsi="Arial" w:cs="Arial"/>
        </w:rPr>
        <w:t>Alnylam</w:t>
      </w:r>
      <w:proofErr w:type="spellEnd"/>
      <w:r w:rsidRPr="0040269A">
        <w:rPr>
          <w:rFonts w:ascii="Arial" w:hAnsi="Arial" w:cs="Arial"/>
        </w:rPr>
        <w:t xml:space="preserve"> said it will submit an investigational new drug (IND) application for ALN-AT3 in mid-2013, and begin a Phase I clinical trial in late 2013.  It expects to report initial clinical data in haemophilia patients in 2014.</w:t>
      </w:r>
    </w:p>
    <w:p w:rsidR="002F0F9D" w:rsidRPr="00C8156E" w:rsidRDefault="007713B2" w:rsidP="009C7F66">
      <w:pPr>
        <w:pStyle w:val="ListParagraph"/>
        <w:numPr>
          <w:ilvl w:val="1"/>
          <w:numId w:val="3"/>
        </w:numPr>
        <w:spacing w:after="0" w:line="240" w:lineRule="auto"/>
        <w:rPr>
          <w:rFonts w:ascii="Arial" w:hAnsi="Arial" w:cs="Arial"/>
          <w:color w:val="7030A0"/>
        </w:rPr>
      </w:pPr>
      <w:r>
        <w:rPr>
          <w:rFonts w:ascii="Arial" w:hAnsi="Arial" w:cs="Arial"/>
        </w:rPr>
        <w:t xml:space="preserve">After the congress, </w:t>
      </w:r>
      <w:r w:rsidR="00603DE3" w:rsidRPr="00603DE3">
        <w:rPr>
          <w:rFonts w:ascii="Arial" w:hAnsi="Arial" w:cs="Arial"/>
        </w:rPr>
        <w:t>Bayer HealthCare announced on July 8</w:t>
      </w:r>
      <w:r w:rsidR="00603DE3" w:rsidRPr="00603DE3">
        <w:rPr>
          <w:rFonts w:ascii="Arial" w:hAnsi="Arial" w:cs="Arial"/>
          <w:vertAlign w:val="superscript"/>
        </w:rPr>
        <w:t>th</w:t>
      </w:r>
      <w:r w:rsidR="00603DE3" w:rsidRPr="00603DE3">
        <w:rPr>
          <w:rFonts w:ascii="Arial" w:hAnsi="Arial" w:cs="Arial"/>
        </w:rPr>
        <w:t xml:space="preserve"> 2013 that enrolment had begun in an international Phase III trial to evaluate its recombinant human factor VIII, BAY 94-9027, for treating haemophilia A.  This PROTECT</w:t>
      </w:r>
      <w:r w:rsidR="00603DE3">
        <w:rPr>
          <w:rStyle w:val="FootnoteReference"/>
          <w:rFonts w:ascii="Arial" w:hAnsi="Arial" w:cs="Arial"/>
        </w:rPr>
        <w:footnoteReference w:id="8"/>
      </w:r>
      <w:r w:rsidR="00603DE3" w:rsidRPr="00603DE3">
        <w:rPr>
          <w:rFonts w:ascii="Arial" w:hAnsi="Arial" w:cs="Arial"/>
        </w:rPr>
        <w:t xml:space="preserve"> VIII Kids trial will investigate whether the drug can be used prophylactically to extend protection from bleeding events for up to seven days, while also being suitable for acute bleeds. </w:t>
      </w:r>
      <w:r w:rsidR="00603DE3">
        <w:rPr>
          <w:rFonts w:ascii="Arial" w:hAnsi="Arial" w:cs="Arial"/>
        </w:rPr>
        <w:t xml:space="preserve"> </w:t>
      </w:r>
      <w:r w:rsidR="00603DE3" w:rsidRPr="00603DE3">
        <w:rPr>
          <w:rFonts w:ascii="Arial" w:hAnsi="Arial" w:cs="Arial"/>
        </w:rPr>
        <w:t>Enrolment of adult patients with haemophilia A into the PROTECT VIII trial is already complete.</w:t>
      </w:r>
      <w:r w:rsidR="00603DE3">
        <w:rPr>
          <w:rFonts w:ascii="Arial" w:hAnsi="Arial" w:cs="Arial"/>
        </w:rPr>
        <w:t xml:space="preserve">  </w:t>
      </w:r>
      <w:r w:rsidR="00603DE3" w:rsidRPr="00603DE3">
        <w:rPr>
          <w:rFonts w:ascii="Arial" w:hAnsi="Arial" w:cs="Arial"/>
        </w:rPr>
        <w:t xml:space="preserve">BAY 94-9027’s claim to extend the half-life of rFVIII activity is via a site specific attachment of a polyethylene glycol (PEG) polymer to the light chain of the rFVIII molecule, without compromising its biologic activity. </w:t>
      </w:r>
    </w:p>
    <w:p w:rsidR="00C8156E" w:rsidRPr="009C7F66" w:rsidRDefault="00C8156E" w:rsidP="00C8156E">
      <w:pPr>
        <w:pStyle w:val="ListParagraph"/>
        <w:spacing w:after="0" w:line="240" w:lineRule="auto"/>
        <w:rPr>
          <w:rFonts w:ascii="Arial" w:hAnsi="Arial" w:cs="Arial"/>
          <w:color w:val="7030A0"/>
        </w:rPr>
      </w:pPr>
    </w:p>
    <w:p w:rsidR="00D1796D" w:rsidRPr="00D1796D" w:rsidRDefault="001E52D7" w:rsidP="009C7F66">
      <w:pPr>
        <w:pStyle w:val="Heading3"/>
        <w:spacing w:before="0"/>
      </w:pPr>
      <w:bookmarkStart w:id="2" w:name="_Toc362333783"/>
      <w:r>
        <w:t>Sickle cell treatments</w:t>
      </w:r>
      <w:bookmarkEnd w:id="2"/>
    </w:p>
    <w:p w:rsidR="007779F5" w:rsidRPr="00C76D17" w:rsidRDefault="0031533F" w:rsidP="007779F5">
      <w:pPr>
        <w:pStyle w:val="ListParagraph"/>
        <w:numPr>
          <w:ilvl w:val="1"/>
          <w:numId w:val="3"/>
        </w:numPr>
        <w:spacing w:line="240" w:lineRule="auto"/>
        <w:rPr>
          <w:rFonts w:ascii="Arial" w:hAnsi="Arial" w:cs="Arial"/>
        </w:rPr>
      </w:pPr>
      <w:proofErr w:type="spellStart"/>
      <w:r w:rsidRPr="00C76D17">
        <w:rPr>
          <w:rFonts w:ascii="Arial" w:hAnsi="Arial" w:cs="Arial"/>
        </w:rPr>
        <w:t>HemaQuest</w:t>
      </w:r>
      <w:proofErr w:type="spellEnd"/>
      <w:r w:rsidRPr="00C76D17">
        <w:rPr>
          <w:rFonts w:ascii="Arial" w:hAnsi="Arial" w:cs="Arial"/>
        </w:rPr>
        <w:t xml:space="preserve"> Pharmaceuticals </w:t>
      </w:r>
      <w:r w:rsidR="0021136C" w:rsidRPr="00C76D17">
        <w:rPr>
          <w:rFonts w:ascii="Arial" w:hAnsi="Arial" w:cs="Arial"/>
        </w:rPr>
        <w:t>completed enrol</w:t>
      </w:r>
      <w:r w:rsidRPr="00C76D17">
        <w:rPr>
          <w:rFonts w:ascii="Arial" w:hAnsi="Arial" w:cs="Arial"/>
        </w:rPr>
        <w:t xml:space="preserve">ment in a randomized, double-blind, placebo-controlled Phase </w:t>
      </w:r>
      <w:proofErr w:type="spellStart"/>
      <w:r w:rsidRPr="00C76D17">
        <w:rPr>
          <w:rFonts w:ascii="Arial" w:hAnsi="Arial" w:cs="Arial"/>
        </w:rPr>
        <w:t>IIb</w:t>
      </w:r>
      <w:proofErr w:type="spellEnd"/>
      <w:r w:rsidRPr="00C76D17">
        <w:rPr>
          <w:rFonts w:ascii="Arial" w:hAnsi="Arial" w:cs="Arial"/>
        </w:rPr>
        <w:t xml:space="preserve"> study of HQK-1001 in patients with sickle cell disease.  The drug is a small chain fatty acid derivative administered orally twice daily; its purpose is the induction of f</w:t>
      </w:r>
      <w:r w:rsidR="0021136C" w:rsidRPr="00C76D17">
        <w:rPr>
          <w:rFonts w:ascii="Arial" w:hAnsi="Arial" w:cs="Arial"/>
        </w:rPr>
        <w:t>o</w:t>
      </w:r>
      <w:r w:rsidRPr="00C76D17">
        <w:rPr>
          <w:rFonts w:ascii="Arial" w:hAnsi="Arial" w:cs="Arial"/>
        </w:rPr>
        <w:t xml:space="preserve">etal haemoglobin and consequent reduced frequency of pain crises, lower frequency and intensity of daily pain, less analgesic use, and enhanced quality of life. </w:t>
      </w:r>
      <w:proofErr w:type="spellStart"/>
      <w:r w:rsidRPr="00C76D17">
        <w:rPr>
          <w:rFonts w:ascii="Arial" w:hAnsi="Arial" w:cs="Arial"/>
        </w:rPr>
        <w:t>HemaQuest</w:t>
      </w:r>
      <w:proofErr w:type="spellEnd"/>
      <w:r w:rsidRPr="00C76D17">
        <w:rPr>
          <w:rFonts w:ascii="Arial" w:hAnsi="Arial" w:cs="Arial"/>
        </w:rPr>
        <w:t xml:space="preserve"> expects an interim analysis of the trial later this </w:t>
      </w:r>
      <w:proofErr w:type="gramStart"/>
      <w:r w:rsidRPr="00C76D17">
        <w:rPr>
          <w:rFonts w:ascii="Arial" w:hAnsi="Arial" w:cs="Arial"/>
        </w:rPr>
        <w:t>year,</w:t>
      </w:r>
      <w:proofErr w:type="gramEnd"/>
      <w:r w:rsidRPr="00C76D17">
        <w:rPr>
          <w:rFonts w:ascii="Arial" w:hAnsi="Arial" w:cs="Arial"/>
        </w:rPr>
        <w:t xml:space="preserve"> and final results in mid-2014. HQK-1001 has Orphan Drug Designation in the United States and Europe for both sickle cell disease and beta thalassemia</w:t>
      </w:r>
      <w:r w:rsidR="007779F5" w:rsidRPr="00C76D17">
        <w:rPr>
          <w:rFonts w:ascii="Arial" w:hAnsi="Arial" w:cs="Arial"/>
        </w:rPr>
        <w:t>.</w:t>
      </w:r>
    </w:p>
    <w:p w:rsidR="00402ED4" w:rsidRPr="00C76D17" w:rsidRDefault="00402ED4" w:rsidP="001E52D7">
      <w:pPr>
        <w:pStyle w:val="ListParagraph"/>
        <w:numPr>
          <w:ilvl w:val="1"/>
          <w:numId w:val="3"/>
        </w:numPr>
        <w:spacing w:after="0" w:line="240" w:lineRule="auto"/>
        <w:rPr>
          <w:rFonts w:ascii="Arial" w:hAnsi="Arial" w:cs="Arial"/>
        </w:rPr>
      </w:pPr>
      <w:r w:rsidRPr="00C76D17">
        <w:rPr>
          <w:rFonts w:ascii="Arial" w:hAnsi="Arial" w:cs="Arial"/>
        </w:rPr>
        <w:t xml:space="preserve">Researchers from the La Jolla Institute for Allergy and Immunology, the Dana-Farber/Children's Hospital Cancer </w:t>
      </w:r>
      <w:proofErr w:type="spellStart"/>
      <w:r w:rsidRPr="00C76D17">
        <w:rPr>
          <w:rFonts w:ascii="Arial" w:hAnsi="Arial" w:cs="Arial"/>
        </w:rPr>
        <w:t>Center</w:t>
      </w:r>
      <w:proofErr w:type="spellEnd"/>
      <w:r w:rsidRPr="00C76D17">
        <w:rPr>
          <w:rFonts w:ascii="Arial" w:hAnsi="Arial" w:cs="Arial"/>
        </w:rPr>
        <w:t xml:space="preserve"> in Boston and the </w:t>
      </w:r>
      <w:proofErr w:type="spellStart"/>
      <w:r w:rsidRPr="00C76D17">
        <w:rPr>
          <w:rFonts w:ascii="Arial" w:hAnsi="Arial" w:cs="Arial"/>
        </w:rPr>
        <w:t>BloodCenter</w:t>
      </w:r>
      <w:proofErr w:type="spellEnd"/>
      <w:r w:rsidRPr="00C76D17">
        <w:rPr>
          <w:rFonts w:ascii="Arial" w:hAnsi="Arial" w:cs="Arial"/>
        </w:rPr>
        <w:t xml:space="preserve"> of Wisconsin in Milwaukee are beginning a Phase II clinical trial of a potential treatment to reduce the severity of symptoms in sickle cell anaemia. The trial, funded by the US National Institutes of Health (NIH), will test the drug </w:t>
      </w:r>
      <w:proofErr w:type="spellStart"/>
      <w:r w:rsidRPr="00C76D17">
        <w:rPr>
          <w:rFonts w:ascii="Arial" w:hAnsi="Arial" w:cs="Arial"/>
        </w:rPr>
        <w:t>Lexiscan</w:t>
      </w:r>
      <w:proofErr w:type="spellEnd"/>
      <w:r w:rsidRPr="00C76D17">
        <w:rPr>
          <w:rFonts w:ascii="Arial" w:hAnsi="Arial" w:cs="Arial"/>
        </w:rPr>
        <w:t xml:space="preserve"> (</w:t>
      </w:r>
      <w:proofErr w:type="spellStart"/>
      <w:r w:rsidRPr="00C76D17">
        <w:rPr>
          <w:rFonts w:ascii="Arial" w:hAnsi="Arial" w:cs="Arial"/>
        </w:rPr>
        <w:t>regadenoson</w:t>
      </w:r>
      <w:proofErr w:type="spellEnd"/>
      <w:r w:rsidRPr="00C76D17">
        <w:rPr>
          <w:rFonts w:ascii="Arial" w:hAnsi="Arial" w:cs="Arial"/>
        </w:rPr>
        <w:t xml:space="preserve"> - </w:t>
      </w:r>
      <w:proofErr w:type="spellStart"/>
      <w:r w:rsidRPr="00C76D17">
        <w:rPr>
          <w:rFonts w:ascii="Arial" w:hAnsi="Arial" w:cs="Arial"/>
        </w:rPr>
        <w:t>Astellas</w:t>
      </w:r>
      <w:proofErr w:type="spellEnd"/>
      <w:r w:rsidRPr="00C76D17">
        <w:rPr>
          <w:rFonts w:ascii="Arial" w:hAnsi="Arial" w:cs="Arial"/>
        </w:rPr>
        <w:t xml:space="preserve"> </w:t>
      </w:r>
      <w:proofErr w:type="spellStart"/>
      <w:r w:rsidRPr="00C76D17">
        <w:rPr>
          <w:rFonts w:ascii="Arial" w:hAnsi="Arial" w:cs="Arial"/>
        </w:rPr>
        <w:t>Pharma</w:t>
      </w:r>
      <w:proofErr w:type="spellEnd"/>
      <w:r w:rsidRPr="00C76D17">
        <w:rPr>
          <w:rFonts w:ascii="Arial" w:hAnsi="Arial" w:cs="Arial"/>
        </w:rPr>
        <w:t>), already in use in diagnosing heart disease. It is thought the drug’s anti-inflammatory effects could substantially reduce the pain and disturbed blood flow in sickle cell anaemia</w:t>
      </w:r>
      <w:r w:rsidRPr="00C76D17">
        <w:rPr>
          <w:rStyle w:val="FootnoteReference"/>
          <w:rFonts w:ascii="Arial" w:hAnsi="Arial" w:cs="Arial"/>
        </w:rPr>
        <w:footnoteReference w:id="9"/>
      </w:r>
      <w:r w:rsidRPr="00C76D17">
        <w:rPr>
          <w:rFonts w:ascii="Arial" w:hAnsi="Arial" w:cs="Arial"/>
        </w:rPr>
        <w:t>.  A Phase I safety study was completed earlier this year</w:t>
      </w:r>
      <w:r w:rsidR="008E50EC" w:rsidRPr="00C76D17">
        <w:rPr>
          <w:rFonts w:ascii="Arial" w:hAnsi="Arial" w:cs="Arial"/>
        </w:rPr>
        <w:t>.</w:t>
      </w:r>
    </w:p>
    <w:p w:rsidR="00C8156E" w:rsidRDefault="00C8156E" w:rsidP="00C8156E">
      <w:pPr>
        <w:pStyle w:val="ListParagraph"/>
        <w:spacing w:after="0" w:line="240" w:lineRule="auto"/>
        <w:rPr>
          <w:rFonts w:ascii="Arial" w:hAnsi="Arial" w:cs="Arial"/>
          <w:color w:val="7030A0"/>
        </w:rPr>
      </w:pPr>
    </w:p>
    <w:p w:rsidR="001E52D7" w:rsidRPr="001E52D7" w:rsidRDefault="001E52D7" w:rsidP="001E52D7">
      <w:pPr>
        <w:pStyle w:val="Heading3"/>
        <w:spacing w:before="0"/>
      </w:pPr>
      <w:bookmarkStart w:id="3" w:name="_Toc362333784"/>
      <w:r>
        <w:t>Artificial platelets</w:t>
      </w:r>
      <w:bookmarkEnd w:id="3"/>
    </w:p>
    <w:p w:rsidR="00FB24F7" w:rsidRPr="00C76D17" w:rsidRDefault="007779F5" w:rsidP="001E52D7">
      <w:pPr>
        <w:pStyle w:val="ListParagraph"/>
        <w:numPr>
          <w:ilvl w:val="1"/>
          <w:numId w:val="3"/>
        </w:numPr>
        <w:spacing w:after="0" w:line="240" w:lineRule="auto"/>
        <w:rPr>
          <w:rFonts w:ascii="Arial" w:hAnsi="Arial" w:cs="Arial"/>
        </w:rPr>
      </w:pPr>
      <w:r w:rsidRPr="00C76D17">
        <w:rPr>
          <w:rFonts w:ascii="Arial" w:hAnsi="Arial" w:cs="Arial"/>
        </w:rPr>
        <w:t xml:space="preserve">Biomedical engineers at Georgia Tech have created artificial platelets to enhance the natural clotting process.  In animal trials, clotting time was reduced by 30 per cent. The clots offer potential for the battlefield, where an injured soldier could inject the freeze-dried material on the field, using a small device. However, there are a number of safety issues which remain to be considered </w:t>
      </w:r>
      <w:r w:rsidR="008E50EC" w:rsidRPr="00C76D17">
        <w:rPr>
          <w:rFonts w:ascii="Arial" w:hAnsi="Arial" w:cs="Arial"/>
        </w:rPr>
        <w:t xml:space="preserve">such as </w:t>
      </w:r>
      <w:r w:rsidRPr="00C76D17">
        <w:rPr>
          <w:rFonts w:ascii="Arial" w:hAnsi="Arial" w:cs="Arial"/>
        </w:rPr>
        <w:t>how long the artificial platelets will circulate round the body, potentially leading to heart attacks and strokes</w:t>
      </w:r>
      <w:r w:rsidR="00AB057A" w:rsidRPr="00C76D17">
        <w:rPr>
          <w:rFonts w:ascii="Arial" w:hAnsi="Arial" w:cs="Arial"/>
        </w:rPr>
        <w:t>.</w:t>
      </w:r>
    </w:p>
    <w:p w:rsidR="00C8156E" w:rsidRDefault="00C8156E" w:rsidP="00C8156E">
      <w:pPr>
        <w:pStyle w:val="ListParagraph"/>
        <w:spacing w:after="0" w:line="240" w:lineRule="auto"/>
        <w:rPr>
          <w:rFonts w:ascii="Arial" w:hAnsi="Arial" w:cs="Arial"/>
          <w:color w:val="7030A0"/>
        </w:rPr>
      </w:pPr>
    </w:p>
    <w:p w:rsidR="001E52D7" w:rsidRPr="001E52D7" w:rsidRDefault="001E52D7" w:rsidP="001E52D7">
      <w:pPr>
        <w:pStyle w:val="Heading3"/>
        <w:spacing w:before="0"/>
      </w:pPr>
      <w:bookmarkStart w:id="4" w:name="_Toc362333785"/>
      <w:r>
        <w:t>Anti-coagulants</w:t>
      </w:r>
      <w:bookmarkEnd w:id="4"/>
    </w:p>
    <w:p w:rsidR="00C8156E" w:rsidRPr="00C76D17" w:rsidRDefault="001E52D7" w:rsidP="00C8156E">
      <w:pPr>
        <w:pStyle w:val="ListParagraph"/>
        <w:numPr>
          <w:ilvl w:val="1"/>
          <w:numId w:val="3"/>
        </w:numPr>
        <w:spacing w:after="0" w:line="240" w:lineRule="auto"/>
        <w:rPr>
          <w:rFonts w:ascii="Arial" w:hAnsi="Arial" w:cs="Arial"/>
          <w:color w:val="7030A0"/>
        </w:rPr>
      </w:pPr>
      <w:proofErr w:type="spellStart"/>
      <w:r w:rsidRPr="00C76D17">
        <w:rPr>
          <w:rFonts w:ascii="Arial" w:hAnsi="Arial" w:cs="Arial"/>
        </w:rPr>
        <w:t>Dr.</w:t>
      </w:r>
      <w:proofErr w:type="spellEnd"/>
      <w:r w:rsidRPr="00C76D17">
        <w:rPr>
          <w:rFonts w:ascii="Arial" w:hAnsi="Arial" w:cs="Arial"/>
        </w:rPr>
        <w:t xml:space="preserve"> Giancarlo </w:t>
      </w:r>
      <w:proofErr w:type="spellStart"/>
      <w:r w:rsidRPr="00C76D17">
        <w:rPr>
          <w:rFonts w:ascii="Arial" w:hAnsi="Arial" w:cs="Arial"/>
        </w:rPr>
        <w:t>Agnelli</w:t>
      </w:r>
      <w:proofErr w:type="spellEnd"/>
      <w:r w:rsidRPr="00C76D17">
        <w:rPr>
          <w:rFonts w:ascii="Arial" w:hAnsi="Arial" w:cs="Arial"/>
        </w:rPr>
        <w:t xml:space="preserve"> told the International Society on Thrombosis and </w:t>
      </w:r>
      <w:proofErr w:type="spellStart"/>
      <w:r w:rsidRPr="00C76D17">
        <w:rPr>
          <w:rFonts w:ascii="Arial" w:hAnsi="Arial" w:cs="Arial"/>
        </w:rPr>
        <w:t>Hemostasis</w:t>
      </w:r>
      <w:proofErr w:type="spellEnd"/>
      <w:r w:rsidRPr="00C76D17">
        <w:rPr>
          <w:rFonts w:ascii="Arial" w:hAnsi="Arial" w:cs="Arial"/>
        </w:rPr>
        <w:t xml:space="preserve"> (ISTH) meeting that </w:t>
      </w:r>
      <w:proofErr w:type="spellStart"/>
      <w:r w:rsidRPr="00C76D17">
        <w:rPr>
          <w:rFonts w:ascii="Arial" w:hAnsi="Arial" w:cs="Arial"/>
        </w:rPr>
        <w:t>apixaban</w:t>
      </w:r>
      <w:proofErr w:type="spellEnd"/>
      <w:r w:rsidRPr="00C76D17">
        <w:rPr>
          <w:rFonts w:ascii="Arial" w:hAnsi="Arial" w:cs="Arial"/>
        </w:rPr>
        <w:t xml:space="preserve"> (</w:t>
      </w:r>
      <w:proofErr w:type="spellStart"/>
      <w:r w:rsidRPr="00C76D17">
        <w:rPr>
          <w:rFonts w:ascii="Arial" w:hAnsi="Arial" w:cs="Arial"/>
        </w:rPr>
        <w:t>Eliquis</w:t>
      </w:r>
      <w:proofErr w:type="spellEnd"/>
      <w:r w:rsidRPr="00C76D17">
        <w:rPr>
          <w:rFonts w:ascii="Arial" w:hAnsi="Arial" w:cs="Arial"/>
        </w:rPr>
        <w:t>, sold by Pfizer and Bristol-Myers Squibb) was as effective as warfarin in treating venous thromboembolism and caused less bleeding</w:t>
      </w:r>
      <w:r w:rsidRPr="00867DEC">
        <w:rPr>
          <w:rStyle w:val="FootnoteReference"/>
          <w:rFonts w:ascii="Arial" w:hAnsi="Arial" w:cs="Arial"/>
        </w:rPr>
        <w:footnoteReference w:id="10"/>
      </w:r>
      <w:r w:rsidRPr="00C76D17">
        <w:rPr>
          <w:rFonts w:ascii="Arial" w:hAnsi="Arial" w:cs="Arial"/>
        </w:rPr>
        <w:t xml:space="preserve">.  </w:t>
      </w:r>
    </w:p>
    <w:p w:rsidR="001E52D7" w:rsidRPr="00D1796D" w:rsidRDefault="001E52D7" w:rsidP="001E52D7">
      <w:pPr>
        <w:pStyle w:val="Heading3"/>
        <w:spacing w:before="0"/>
      </w:pPr>
      <w:bookmarkStart w:id="5" w:name="_Toc362333786"/>
      <w:r>
        <w:lastRenderedPageBreak/>
        <w:t>Devices and services</w:t>
      </w:r>
      <w:bookmarkEnd w:id="5"/>
    </w:p>
    <w:p w:rsidR="001E52D7" w:rsidRPr="00774B25" w:rsidRDefault="00774B25" w:rsidP="00774B25">
      <w:pPr>
        <w:pStyle w:val="ListParagraph"/>
        <w:numPr>
          <w:ilvl w:val="1"/>
          <w:numId w:val="3"/>
        </w:numPr>
        <w:spacing w:line="240" w:lineRule="auto"/>
        <w:rPr>
          <w:rFonts w:ascii="Arial" w:hAnsi="Arial" w:cs="Arial"/>
          <w:color w:val="7030A0"/>
        </w:rPr>
      </w:pPr>
      <w:r w:rsidRPr="00141FC4">
        <w:rPr>
          <w:rFonts w:ascii="Arial" w:hAnsi="Arial" w:cs="Arial"/>
          <w:color w:val="7030A0"/>
        </w:rPr>
        <w:t>A new type of intravenous (IV) connector with zero displacement reduced the incidence of central-line associated bloodstream infections by 36 per cent in a quality improvement study</w:t>
      </w:r>
      <w:r w:rsidRPr="00141FC4">
        <w:rPr>
          <w:rStyle w:val="FootnoteReference"/>
          <w:rFonts w:ascii="Arial" w:hAnsi="Arial" w:cs="Arial"/>
          <w:color w:val="7030A0"/>
        </w:rPr>
        <w:footnoteReference w:id="11"/>
      </w:r>
      <w:r w:rsidRPr="00141FC4">
        <w:rPr>
          <w:rFonts w:ascii="Arial" w:hAnsi="Arial" w:cs="Arial"/>
          <w:color w:val="7030A0"/>
        </w:rPr>
        <w:t xml:space="preserve">. The connector is impregnated with </w:t>
      </w:r>
      <w:proofErr w:type="spellStart"/>
      <w:r w:rsidRPr="00141FC4">
        <w:rPr>
          <w:rFonts w:ascii="Arial" w:hAnsi="Arial" w:cs="Arial"/>
          <w:color w:val="7030A0"/>
        </w:rPr>
        <w:t>chlorhexidine</w:t>
      </w:r>
      <w:proofErr w:type="spellEnd"/>
      <w:r w:rsidRPr="00141FC4">
        <w:rPr>
          <w:rFonts w:ascii="Arial" w:hAnsi="Arial" w:cs="Arial"/>
          <w:color w:val="7030A0"/>
        </w:rPr>
        <w:t xml:space="preserve"> and silver</w:t>
      </w:r>
      <w:r w:rsidRPr="00141FC4">
        <w:rPr>
          <w:rFonts w:ascii="Georgia" w:hAnsi="Georgia"/>
          <w:color w:val="7030A0"/>
        </w:rPr>
        <w:t>.</w:t>
      </w:r>
    </w:p>
    <w:p w:rsidR="000D70FF" w:rsidRPr="00141FC4" w:rsidRDefault="00FB24F7" w:rsidP="00774B25">
      <w:pPr>
        <w:pStyle w:val="ListParagraph"/>
        <w:numPr>
          <w:ilvl w:val="1"/>
          <w:numId w:val="3"/>
        </w:numPr>
        <w:spacing w:line="240" w:lineRule="auto"/>
        <w:rPr>
          <w:rFonts w:ascii="Arial" w:hAnsi="Arial" w:cs="Arial"/>
          <w:color w:val="7030A0"/>
        </w:rPr>
      </w:pPr>
      <w:r w:rsidRPr="00141FC4">
        <w:rPr>
          <w:rFonts w:ascii="Arial" w:hAnsi="Arial" w:cs="Arial"/>
          <w:color w:val="7030A0"/>
        </w:rPr>
        <w:t>Two Michigan entrepreneurs have deve</w:t>
      </w:r>
      <w:r w:rsidR="00F53CE4">
        <w:rPr>
          <w:rFonts w:ascii="Arial" w:hAnsi="Arial" w:cs="Arial"/>
          <w:color w:val="7030A0"/>
        </w:rPr>
        <w:t xml:space="preserve">loped </w:t>
      </w:r>
      <w:proofErr w:type="spellStart"/>
      <w:r w:rsidR="00F53CE4">
        <w:rPr>
          <w:rFonts w:ascii="Arial" w:hAnsi="Arial" w:cs="Arial"/>
          <w:color w:val="7030A0"/>
        </w:rPr>
        <w:t>CureLauncher</w:t>
      </w:r>
      <w:proofErr w:type="spellEnd"/>
      <w:r w:rsidR="00F53CE4">
        <w:rPr>
          <w:rFonts w:ascii="Arial" w:hAnsi="Arial" w:cs="Arial"/>
          <w:color w:val="7030A0"/>
        </w:rPr>
        <w:t>,</w:t>
      </w:r>
      <w:r w:rsidRPr="00141FC4">
        <w:rPr>
          <w:rFonts w:ascii="Arial" w:hAnsi="Arial" w:cs="Arial"/>
          <w:color w:val="7030A0"/>
        </w:rPr>
        <w:t xml:space="preserve"> a service that </w:t>
      </w:r>
      <w:r w:rsidRPr="00141FC4">
        <w:rPr>
          <w:rFonts w:ascii="Arial" w:eastAsia="Times New Roman" w:hAnsi="Arial" w:cs="Arial"/>
          <w:color w:val="7030A0"/>
        </w:rPr>
        <w:t>matches patients with clinical-research trials</w:t>
      </w:r>
      <w:r w:rsidRPr="00141FC4">
        <w:rPr>
          <w:rFonts w:ascii="Arial" w:hAnsi="Arial" w:cs="Arial"/>
          <w:color w:val="7030A0"/>
        </w:rPr>
        <w:t xml:space="preserve"> offering cutting-edge treatments.</w:t>
      </w:r>
    </w:p>
    <w:p w:rsidR="00AF3075" w:rsidRPr="00446464" w:rsidRDefault="00AF3075" w:rsidP="009C7F66">
      <w:pPr>
        <w:pStyle w:val="Heading1"/>
        <w:numPr>
          <w:ilvl w:val="0"/>
          <w:numId w:val="2"/>
        </w:numPr>
        <w:spacing w:before="0"/>
        <w:ind w:left="360"/>
        <w:rPr>
          <w:color w:val="FF0000"/>
        </w:rPr>
      </w:pPr>
      <w:bookmarkStart w:id="6" w:name="_Toc362333787"/>
      <w:r w:rsidRPr="00446464">
        <w:rPr>
          <w:color w:val="FF0000"/>
        </w:rPr>
        <w:t>Regulatory</w:t>
      </w:r>
      <w:bookmarkEnd w:id="6"/>
    </w:p>
    <w:p w:rsidR="001C2106" w:rsidRDefault="001C2106" w:rsidP="00EE0F67">
      <w:pPr>
        <w:spacing w:after="0"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p>
    <w:p w:rsidR="00774B25" w:rsidRDefault="00774B25" w:rsidP="00EE0F67">
      <w:pPr>
        <w:spacing w:after="0" w:line="240" w:lineRule="auto"/>
        <w:rPr>
          <w:rFonts w:ascii="Arial" w:hAnsi="Arial" w:cs="Arial"/>
          <w:i/>
        </w:rPr>
      </w:pPr>
    </w:p>
    <w:p w:rsidR="00774B25" w:rsidRDefault="00774B25" w:rsidP="00774B25">
      <w:pPr>
        <w:pStyle w:val="Heading3"/>
        <w:spacing w:before="0" w:line="240" w:lineRule="auto"/>
      </w:pPr>
      <w:bookmarkStart w:id="7" w:name="_Toc362333788"/>
      <w:r>
        <w:t>Plasma and recombinant products</w:t>
      </w:r>
      <w:bookmarkEnd w:id="7"/>
    </w:p>
    <w:p w:rsidR="00293419" w:rsidRPr="00C76D17" w:rsidRDefault="00293419" w:rsidP="00774B25">
      <w:pPr>
        <w:pStyle w:val="ListParagraph"/>
        <w:numPr>
          <w:ilvl w:val="1"/>
          <w:numId w:val="34"/>
        </w:numPr>
        <w:spacing w:after="0" w:line="240" w:lineRule="auto"/>
        <w:rPr>
          <w:rFonts w:ascii="Arial" w:hAnsi="Arial" w:cs="Arial"/>
        </w:rPr>
      </w:pPr>
      <w:r w:rsidRPr="00C76D17">
        <w:rPr>
          <w:rFonts w:ascii="Arial" w:hAnsi="Arial" w:cs="Arial"/>
        </w:rPr>
        <w:t xml:space="preserve">In February, </w:t>
      </w:r>
      <w:proofErr w:type="spellStart"/>
      <w:r w:rsidRPr="00C76D17">
        <w:rPr>
          <w:rFonts w:ascii="Arial" w:hAnsi="Arial" w:cs="Arial"/>
        </w:rPr>
        <w:t>Cangene</w:t>
      </w:r>
      <w:proofErr w:type="spellEnd"/>
      <w:r w:rsidRPr="00C76D17">
        <w:rPr>
          <w:rFonts w:ascii="Arial" w:hAnsi="Arial" w:cs="Arial"/>
        </w:rPr>
        <w:t xml:space="preserve"> acquired all rights to the development of the investigational haemophilia B drug IB1001 from </w:t>
      </w:r>
      <w:proofErr w:type="spellStart"/>
      <w:r w:rsidRPr="00C76D17">
        <w:rPr>
          <w:rFonts w:ascii="Arial" w:hAnsi="Arial" w:cs="Arial"/>
        </w:rPr>
        <w:t>Ipsen</w:t>
      </w:r>
      <w:proofErr w:type="spellEnd"/>
      <w:r w:rsidRPr="00C76D17">
        <w:rPr>
          <w:rFonts w:ascii="Arial" w:hAnsi="Arial" w:cs="Arial"/>
        </w:rPr>
        <w:t xml:space="preserve"> and Inspiration Biopharmaceutical. </w:t>
      </w:r>
      <w:proofErr w:type="spellStart"/>
      <w:r w:rsidRPr="00C76D17">
        <w:rPr>
          <w:rFonts w:ascii="Arial" w:hAnsi="Arial" w:cs="Arial"/>
        </w:rPr>
        <w:t>Cangene</w:t>
      </w:r>
      <w:proofErr w:type="spellEnd"/>
      <w:r w:rsidRPr="00C76D17">
        <w:rPr>
          <w:rFonts w:ascii="Arial" w:hAnsi="Arial" w:cs="Arial"/>
        </w:rPr>
        <w:t xml:space="preserve"> has withdrawn the Marketing Authorization Application in Europe and will refile with additional clinical data as requested by the European Medicines Agency (EMA). At the date of acquisition the drug was also being reviewed in the US. </w:t>
      </w:r>
      <w:r w:rsidR="00F53CE4" w:rsidRPr="00C76D17">
        <w:rPr>
          <w:rFonts w:ascii="Arial" w:hAnsi="Arial" w:cs="Arial"/>
        </w:rPr>
        <w:t xml:space="preserve"> </w:t>
      </w:r>
      <w:proofErr w:type="spellStart"/>
      <w:r w:rsidRPr="00C76D17">
        <w:rPr>
          <w:rFonts w:ascii="Arial" w:hAnsi="Arial" w:cs="Arial"/>
        </w:rPr>
        <w:t>Cangene</w:t>
      </w:r>
      <w:proofErr w:type="spellEnd"/>
      <w:r w:rsidRPr="00C76D17">
        <w:rPr>
          <w:rFonts w:ascii="Arial" w:hAnsi="Arial" w:cs="Arial"/>
        </w:rPr>
        <w:t xml:space="preserve"> is continuing to address the FDA’s Complete Response Letter with a defined path to approval in relation to the Biologics License Application. </w:t>
      </w:r>
    </w:p>
    <w:p w:rsidR="00774B25" w:rsidRPr="00BF6BEC" w:rsidRDefault="00774B25" w:rsidP="00774B25">
      <w:pPr>
        <w:pStyle w:val="ListParagraph"/>
        <w:numPr>
          <w:ilvl w:val="1"/>
          <w:numId w:val="34"/>
        </w:numPr>
        <w:spacing w:after="0" w:line="240" w:lineRule="auto"/>
        <w:rPr>
          <w:rFonts w:ascii="Arial" w:hAnsi="Arial" w:cs="Arial"/>
          <w:color w:val="7030A0"/>
        </w:rPr>
      </w:pPr>
      <w:r w:rsidRPr="00C76D17">
        <w:rPr>
          <w:rFonts w:ascii="Arial" w:hAnsi="Arial" w:cs="Arial"/>
        </w:rPr>
        <w:t xml:space="preserve">In the US, the FDA has granted approval for Baxter's </w:t>
      </w:r>
      <w:proofErr w:type="spellStart"/>
      <w:r w:rsidRPr="00C76D17">
        <w:rPr>
          <w:rFonts w:ascii="Arial" w:hAnsi="Arial" w:cs="Arial"/>
        </w:rPr>
        <w:t>Rixubis</w:t>
      </w:r>
      <w:proofErr w:type="spellEnd"/>
      <w:r w:rsidRPr="00C76D17">
        <w:rPr>
          <w:rFonts w:ascii="Arial" w:hAnsi="Arial" w:cs="Arial"/>
        </w:rPr>
        <w:t xml:space="preserve"> </w:t>
      </w:r>
      <w:r w:rsidRPr="003641E5">
        <w:rPr>
          <w:rFonts w:ascii="Arial" w:hAnsi="Arial" w:cs="Arial"/>
        </w:rPr>
        <w:t>for the treatment and prevention of bleeding episodes in haemophilia B in patients over the age of 16.  It is a purified protein made with recombinant DNA technology.</w:t>
      </w:r>
      <w:r>
        <w:rPr>
          <w:rFonts w:ascii="Arial" w:hAnsi="Arial" w:cs="Arial"/>
        </w:rPr>
        <w:t xml:space="preserve"> </w:t>
      </w:r>
      <w:r w:rsidRPr="003641E5">
        <w:rPr>
          <w:rFonts w:ascii="Arial" w:hAnsi="Arial" w:cs="Arial"/>
        </w:rPr>
        <w:t xml:space="preserve">For </w:t>
      </w:r>
      <w:r>
        <w:rPr>
          <w:rFonts w:ascii="Arial" w:hAnsi="Arial" w:cs="Arial"/>
        </w:rPr>
        <w:t xml:space="preserve">prophylaxis </w:t>
      </w:r>
      <w:r w:rsidRPr="003641E5">
        <w:rPr>
          <w:rFonts w:ascii="Arial" w:hAnsi="Arial" w:cs="Arial"/>
        </w:rPr>
        <w:t>it is administered intravenously twice a week. The drug's efficacy was assessed in 73 male patients aged from 12 to 65.</w:t>
      </w:r>
      <w:r>
        <w:rPr>
          <w:rFonts w:ascii="Arial" w:hAnsi="Arial" w:cs="Arial"/>
        </w:rPr>
        <w:t xml:space="preserve">  </w:t>
      </w:r>
      <w:r w:rsidRPr="003641E5">
        <w:rPr>
          <w:rFonts w:ascii="Arial" w:hAnsi="Arial" w:cs="Arial"/>
        </w:rPr>
        <w:t xml:space="preserve">Reported side effects included distorted taste, pain in an extremity, atypical blood results and - uncommonly- </w:t>
      </w:r>
      <w:r>
        <w:rPr>
          <w:rFonts w:ascii="Arial" w:hAnsi="Arial" w:cs="Arial"/>
        </w:rPr>
        <w:t>severe (possibly life- threaten</w:t>
      </w:r>
      <w:r w:rsidRPr="003641E5">
        <w:rPr>
          <w:rFonts w:ascii="Arial" w:hAnsi="Arial" w:cs="Arial"/>
        </w:rPr>
        <w:t>ing) allergic reac</w:t>
      </w:r>
      <w:r>
        <w:rPr>
          <w:rFonts w:ascii="Arial" w:hAnsi="Arial" w:cs="Arial"/>
        </w:rPr>
        <w:t>t</w:t>
      </w:r>
      <w:r w:rsidRPr="003641E5">
        <w:rPr>
          <w:rFonts w:ascii="Arial" w:hAnsi="Arial" w:cs="Arial"/>
        </w:rPr>
        <w:t>ions.</w:t>
      </w:r>
    </w:p>
    <w:p w:rsidR="00BF6BEC" w:rsidRPr="00BF6BEC" w:rsidRDefault="00BF6BEC" w:rsidP="00BF6BEC">
      <w:pPr>
        <w:pStyle w:val="ListParagraph"/>
        <w:numPr>
          <w:ilvl w:val="1"/>
          <w:numId w:val="34"/>
        </w:numPr>
        <w:spacing w:line="240" w:lineRule="auto"/>
        <w:rPr>
          <w:rFonts w:ascii="Arial" w:hAnsi="Arial" w:cs="Arial"/>
        </w:rPr>
      </w:pPr>
      <w:r w:rsidRPr="00E37632">
        <w:rPr>
          <w:rFonts w:ascii="Arial" w:hAnsi="Arial" w:cs="Arial"/>
        </w:rPr>
        <w:t>In June 2013 the FDA said recent data had strengthened the association between the use of intravenous, subcutaneous and intramuscular human immune globulin products and the risk of thrombosis and that additional caution regarding the use of these products is warranted. It therefore required manufacturers to add information to the previous boxed warning in the labels of all intravenous human immune globulin products, and to add a boxed warning to the labels of all subcutaneous and intramuscular human immune globulin products. These warnings highlight the risk of thrombosis and provide information on risk mitigation. The data which prompted this action came from a health claims database and from continued post marketing adverse event reports.</w:t>
      </w:r>
    </w:p>
    <w:p w:rsidR="00774B25" w:rsidRPr="00C8156E" w:rsidRDefault="00774B25" w:rsidP="00BF6BEC">
      <w:pPr>
        <w:pStyle w:val="ListParagraph"/>
        <w:numPr>
          <w:ilvl w:val="1"/>
          <w:numId w:val="34"/>
        </w:numPr>
        <w:spacing w:after="0" w:line="240" w:lineRule="auto"/>
        <w:rPr>
          <w:rFonts w:ascii="Arial" w:hAnsi="Arial" w:cs="Arial"/>
          <w:color w:val="7030A0"/>
        </w:rPr>
      </w:pPr>
      <w:proofErr w:type="spellStart"/>
      <w:r w:rsidRPr="00AE395E">
        <w:rPr>
          <w:rFonts w:ascii="Arial" w:hAnsi="Arial" w:cs="Arial"/>
        </w:rPr>
        <w:t>Kamada</w:t>
      </w:r>
      <w:proofErr w:type="spellEnd"/>
      <w:r w:rsidRPr="00AE395E">
        <w:rPr>
          <w:rFonts w:ascii="Arial" w:hAnsi="Arial" w:cs="Arial"/>
        </w:rPr>
        <w:t xml:space="preserve"> announced that </w:t>
      </w:r>
      <w:r>
        <w:rPr>
          <w:rFonts w:ascii="Arial" w:hAnsi="Arial" w:cs="Arial"/>
        </w:rPr>
        <w:t xml:space="preserve">it </w:t>
      </w:r>
      <w:r w:rsidRPr="00AE395E">
        <w:rPr>
          <w:rFonts w:ascii="Arial" w:hAnsi="Arial" w:cs="Arial"/>
        </w:rPr>
        <w:t xml:space="preserve">was granted an additional Australian Patent No. </w:t>
      </w:r>
      <w:hyperlink r:id="rId9" w:history="1">
        <w:r w:rsidRPr="00AE395E">
          <w:rPr>
            <w:rStyle w:val="Hyperlink"/>
            <w:rFonts w:ascii="Arial" w:hAnsi="Arial" w:cs="Arial"/>
            <w:color w:val="auto"/>
            <w:u w:val="none"/>
          </w:rPr>
          <w:t>2007213344</w:t>
        </w:r>
      </w:hyperlink>
      <w:r w:rsidRPr="00AE395E">
        <w:rPr>
          <w:rFonts w:ascii="Arial" w:hAnsi="Arial" w:cs="Arial"/>
        </w:rPr>
        <w:t xml:space="preserve"> (co-owned with PARI PHARMA), entitled "Pulmonary delivery of</w:t>
      </w:r>
      <w:r w:rsidR="00BF6BEC">
        <w:rPr>
          <w:rFonts w:ascii="Arial" w:hAnsi="Arial" w:cs="Arial"/>
        </w:rPr>
        <w:t xml:space="preserve"> Alpha-1 proteinase inhibitor."</w:t>
      </w:r>
    </w:p>
    <w:p w:rsidR="00C8156E" w:rsidRPr="00BF6BEC" w:rsidRDefault="00C8156E" w:rsidP="00C8156E">
      <w:pPr>
        <w:pStyle w:val="ListParagraph"/>
        <w:spacing w:after="0" w:line="240" w:lineRule="auto"/>
        <w:rPr>
          <w:rFonts w:ascii="Arial" w:hAnsi="Arial" w:cs="Arial"/>
          <w:color w:val="7030A0"/>
        </w:rPr>
      </w:pPr>
    </w:p>
    <w:p w:rsidR="00774B25" w:rsidRDefault="00774B25" w:rsidP="00774B25">
      <w:pPr>
        <w:pStyle w:val="Heading3"/>
        <w:spacing w:before="0" w:line="240" w:lineRule="auto"/>
      </w:pPr>
      <w:bookmarkStart w:id="8" w:name="_Toc362333789"/>
      <w:r>
        <w:t>Blood donation</w:t>
      </w:r>
      <w:r w:rsidR="00BF6BEC">
        <w:t xml:space="preserve">, </w:t>
      </w:r>
      <w:r>
        <w:t>processing</w:t>
      </w:r>
      <w:r w:rsidR="00BF6BEC">
        <w:t xml:space="preserve">, </w:t>
      </w:r>
      <w:r>
        <w:t>storage</w:t>
      </w:r>
      <w:r w:rsidR="00BF6BEC">
        <w:t xml:space="preserve"> and use; blood substitutes</w:t>
      </w:r>
      <w:bookmarkEnd w:id="8"/>
      <w:r w:rsidR="00BF6BEC">
        <w:t xml:space="preserve"> </w:t>
      </w:r>
    </w:p>
    <w:p w:rsidR="00BF6BEC" w:rsidRPr="007E5975" w:rsidRDefault="00BF6BEC" w:rsidP="00BF6BEC">
      <w:pPr>
        <w:pStyle w:val="ListParagraph"/>
        <w:numPr>
          <w:ilvl w:val="1"/>
          <w:numId w:val="34"/>
        </w:numPr>
        <w:spacing w:after="0" w:line="240" w:lineRule="auto"/>
        <w:rPr>
          <w:rFonts w:ascii="Arial" w:eastAsia="Times New Roman" w:hAnsi="Arial" w:cs="Arial"/>
          <w:lang w:eastAsia="en-AU"/>
        </w:rPr>
      </w:pPr>
      <w:r>
        <w:rPr>
          <w:rFonts w:ascii="Arial" w:eastAsia="Times New Roman" w:hAnsi="Arial" w:cs="Arial"/>
          <w:lang w:eastAsia="en-AU"/>
        </w:rPr>
        <w:t xml:space="preserve">The FDA has approved radio frequency identification technology to identify, reconcile and track blood products.  </w:t>
      </w:r>
    </w:p>
    <w:p w:rsidR="00774B25" w:rsidRPr="00BF6BEC" w:rsidRDefault="00774B25" w:rsidP="00BF6BEC">
      <w:pPr>
        <w:pStyle w:val="ListParagraph"/>
        <w:numPr>
          <w:ilvl w:val="1"/>
          <w:numId w:val="34"/>
        </w:numPr>
        <w:spacing w:after="0" w:line="240" w:lineRule="auto"/>
        <w:rPr>
          <w:rFonts w:ascii="Arial" w:hAnsi="Arial" w:cs="Arial"/>
          <w:color w:val="7030A0"/>
        </w:rPr>
      </w:pPr>
      <w:r w:rsidRPr="00D60EC2">
        <w:rPr>
          <w:rFonts w:ascii="Arial" w:hAnsi="Arial" w:cs="Arial"/>
        </w:rPr>
        <w:t>The FDA has approved product from a system dev</w:t>
      </w:r>
      <w:r>
        <w:rPr>
          <w:rFonts w:ascii="Arial" w:hAnsi="Arial" w:cs="Arial"/>
        </w:rPr>
        <w:t xml:space="preserve">eloped by </w:t>
      </w:r>
      <w:proofErr w:type="spellStart"/>
      <w:r>
        <w:rPr>
          <w:rFonts w:ascii="Arial" w:hAnsi="Arial" w:cs="Arial"/>
        </w:rPr>
        <w:t>Hemerus</w:t>
      </w:r>
      <w:proofErr w:type="spellEnd"/>
      <w:r>
        <w:rPr>
          <w:rFonts w:ascii="Arial" w:hAnsi="Arial" w:cs="Arial"/>
        </w:rPr>
        <w:t xml:space="preserve"> Medical and US</w:t>
      </w:r>
      <w:r w:rsidRPr="00D60EC2">
        <w:rPr>
          <w:rFonts w:ascii="Arial" w:hAnsi="Arial" w:cs="Arial"/>
        </w:rPr>
        <w:t xml:space="preserve"> Army Medical Materiel Development Activity. The SOLX® System is designed to better preserve the quality of collected red blood cells while extending the product’s shelf life.  While the FDA’s approval is for storage of </w:t>
      </w:r>
      <w:r>
        <w:rPr>
          <w:rFonts w:ascii="Arial" w:hAnsi="Arial" w:cs="Arial"/>
        </w:rPr>
        <w:t>six weeks-the current standard-the developers claimed the c</w:t>
      </w:r>
      <w:r w:rsidRPr="00D60EC2">
        <w:rPr>
          <w:rFonts w:ascii="Arial" w:hAnsi="Arial" w:cs="Arial"/>
        </w:rPr>
        <w:t>ells c</w:t>
      </w:r>
      <w:r>
        <w:rPr>
          <w:rFonts w:ascii="Arial" w:hAnsi="Arial" w:cs="Arial"/>
        </w:rPr>
        <w:t>ould be sto</w:t>
      </w:r>
      <w:r w:rsidRPr="00D60EC2">
        <w:rPr>
          <w:rFonts w:ascii="Arial" w:hAnsi="Arial" w:cs="Arial"/>
        </w:rPr>
        <w:t>red for two weeks longer.</w:t>
      </w:r>
    </w:p>
    <w:p w:rsidR="00BF6BEC" w:rsidRPr="00C8156E" w:rsidRDefault="00BF6BEC" w:rsidP="00BF6BEC">
      <w:pPr>
        <w:pStyle w:val="ListParagraph"/>
        <w:numPr>
          <w:ilvl w:val="1"/>
          <w:numId w:val="34"/>
        </w:numPr>
        <w:spacing w:after="0" w:line="240" w:lineRule="auto"/>
        <w:rPr>
          <w:rFonts w:ascii="Arial" w:hAnsi="Arial" w:cs="Arial"/>
          <w:color w:val="7030A0"/>
        </w:rPr>
      </w:pPr>
      <w:r w:rsidRPr="00E67CF5">
        <w:rPr>
          <w:rFonts w:ascii="Arial" w:hAnsi="Arial" w:cs="Arial"/>
        </w:rPr>
        <w:t xml:space="preserve">In the US, the FDA now requires </w:t>
      </w:r>
      <w:proofErr w:type="spellStart"/>
      <w:r w:rsidRPr="00E67CF5">
        <w:rPr>
          <w:rFonts w:ascii="Arial" w:hAnsi="Arial" w:cs="Arial"/>
        </w:rPr>
        <w:t>hydroxyethyl</w:t>
      </w:r>
      <w:proofErr w:type="spellEnd"/>
      <w:r w:rsidRPr="00E67CF5">
        <w:rPr>
          <w:rFonts w:ascii="Arial" w:hAnsi="Arial" w:cs="Arial"/>
        </w:rPr>
        <w:t xml:space="preserve"> starch solutions used to treat </w:t>
      </w:r>
      <w:proofErr w:type="spellStart"/>
      <w:r w:rsidRPr="00E67CF5">
        <w:rPr>
          <w:rFonts w:ascii="Arial" w:hAnsi="Arial" w:cs="Arial"/>
        </w:rPr>
        <w:t>hypovolemia</w:t>
      </w:r>
      <w:proofErr w:type="spellEnd"/>
      <w:r w:rsidRPr="00E67CF5">
        <w:rPr>
          <w:rFonts w:ascii="Arial" w:hAnsi="Arial" w:cs="Arial"/>
        </w:rPr>
        <w:t xml:space="preserve"> to carry a boxed warning about increased risk of kidney injury and death.</w:t>
      </w:r>
      <w:r>
        <w:rPr>
          <w:rFonts w:ascii="Arial" w:hAnsi="Arial" w:cs="Arial"/>
        </w:rPr>
        <w:t xml:space="preserve"> T</w:t>
      </w:r>
      <w:r w:rsidRPr="00E67CF5">
        <w:rPr>
          <w:rFonts w:ascii="Arial" w:hAnsi="Arial" w:cs="Arial"/>
        </w:rPr>
        <w:t xml:space="preserve">he European Medicines Agency's </w:t>
      </w:r>
      <w:proofErr w:type="spellStart"/>
      <w:r w:rsidRPr="00E67CF5">
        <w:rPr>
          <w:rFonts w:ascii="Arial" w:hAnsi="Arial" w:cs="Arial"/>
        </w:rPr>
        <w:t>Pharmacovigilance</w:t>
      </w:r>
      <w:proofErr w:type="spellEnd"/>
      <w:r w:rsidRPr="00E67CF5">
        <w:rPr>
          <w:rFonts w:ascii="Arial" w:hAnsi="Arial" w:cs="Arial"/>
        </w:rPr>
        <w:t xml:space="preserve"> Risk Assessment </w:t>
      </w:r>
      <w:r w:rsidRPr="00E67CF5">
        <w:rPr>
          <w:rFonts w:ascii="Arial" w:hAnsi="Arial" w:cs="Arial"/>
        </w:rPr>
        <w:lastRenderedPageBreak/>
        <w:t xml:space="preserve">Committee </w:t>
      </w:r>
      <w:r>
        <w:rPr>
          <w:rFonts w:ascii="Arial" w:hAnsi="Arial" w:cs="Arial"/>
        </w:rPr>
        <w:t xml:space="preserve">had earlier </w:t>
      </w:r>
      <w:r w:rsidRPr="00E67CF5">
        <w:rPr>
          <w:rFonts w:ascii="Arial" w:hAnsi="Arial" w:cs="Arial"/>
        </w:rPr>
        <w:t>recommended that EU members suspend marketing authorizations for the products until the holder of the authorization could "provide convincing data to identify a group of patients in whom the benefits of the medicines outweigh their risks".</w:t>
      </w:r>
    </w:p>
    <w:p w:rsidR="00C8156E" w:rsidRPr="00BF6BEC" w:rsidRDefault="00C8156E" w:rsidP="00C8156E">
      <w:pPr>
        <w:pStyle w:val="ListParagraph"/>
        <w:spacing w:after="0" w:line="240" w:lineRule="auto"/>
        <w:rPr>
          <w:rFonts w:ascii="Arial" w:hAnsi="Arial" w:cs="Arial"/>
          <w:color w:val="7030A0"/>
        </w:rPr>
      </w:pPr>
    </w:p>
    <w:p w:rsidR="00774B25" w:rsidRPr="00BF6BEC" w:rsidRDefault="00774B25" w:rsidP="00BF6BEC">
      <w:pPr>
        <w:pStyle w:val="Heading3"/>
        <w:spacing w:before="0" w:line="240" w:lineRule="auto"/>
      </w:pPr>
      <w:bookmarkStart w:id="9" w:name="_Toc362333790"/>
      <w:r>
        <w:t>Devices</w:t>
      </w:r>
      <w:bookmarkEnd w:id="9"/>
    </w:p>
    <w:p w:rsidR="00511961" w:rsidRPr="00307385" w:rsidRDefault="00511961" w:rsidP="00774B25">
      <w:pPr>
        <w:pStyle w:val="ListParagraph"/>
        <w:numPr>
          <w:ilvl w:val="1"/>
          <w:numId w:val="9"/>
        </w:numPr>
        <w:spacing w:line="240" w:lineRule="auto"/>
        <w:rPr>
          <w:rFonts w:ascii="Arial" w:hAnsi="Arial" w:cs="Arial"/>
        </w:rPr>
      </w:pPr>
      <w:r w:rsidRPr="00307385">
        <w:rPr>
          <w:rFonts w:ascii="Arial" w:hAnsi="Arial" w:cs="Arial"/>
          <w:bCs/>
        </w:rPr>
        <w:t>The</w:t>
      </w:r>
      <w:r w:rsidR="00820C95" w:rsidRPr="00307385">
        <w:rPr>
          <w:rFonts w:ascii="Arial" w:hAnsi="Arial" w:cs="Arial"/>
          <w:bCs/>
        </w:rPr>
        <w:t xml:space="preserve"> FDA</w:t>
      </w:r>
      <w:r w:rsidRPr="00307385">
        <w:rPr>
          <w:rFonts w:ascii="Arial" w:hAnsi="Arial" w:cs="Arial"/>
          <w:bCs/>
        </w:rPr>
        <w:t xml:space="preserve"> has asked device man</w:t>
      </w:r>
      <w:r w:rsidR="00820C95" w:rsidRPr="00307385">
        <w:rPr>
          <w:rFonts w:ascii="Arial" w:hAnsi="Arial" w:cs="Arial"/>
          <w:bCs/>
        </w:rPr>
        <w:t>u</w:t>
      </w:r>
      <w:r w:rsidRPr="00307385">
        <w:rPr>
          <w:rFonts w:ascii="Arial" w:hAnsi="Arial" w:cs="Arial"/>
          <w:bCs/>
        </w:rPr>
        <w:t xml:space="preserve">facturers and healthcare facilities to make more effort to reduce the chance </w:t>
      </w:r>
      <w:r w:rsidR="009A00FA" w:rsidRPr="00307385">
        <w:rPr>
          <w:rFonts w:ascii="Arial" w:hAnsi="Arial" w:cs="Arial"/>
          <w:bCs/>
        </w:rPr>
        <w:t xml:space="preserve">of </w:t>
      </w:r>
      <w:proofErr w:type="spellStart"/>
      <w:r w:rsidRPr="00307385">
        <w:rPr>
          <w:rFonts w:ascii="Arial" w:hAnsi="Arial" w:cs="Arial"/>
        </w:rPr>
        <w:t>cyber</w:t>
      </w:r>
      <w:r w:rsidR="008E50EC" w:rsidRPr="00307385">
        <w:rPr>
          <w:rFonts w:ascii="Arial" w:hAnsi="Arial" w:cs="Arial"/>
        </w:rPr>
        <w:t xml:space="preserve"> </w:t>
      </w:r>
      <w:r w:rsidRPr="00307385">
        <w:rPr>
          <w:rFonts w:ascii="Arial" w:hAnsi="Arial" w:cs="Arial"/>
        </w:rPr>
        <w:t>attack</w:t>
      </w:r>
      <w:proofErr w:type="spellEnd"/>
      <w:r w:rsidRPr="00307385">
        <w:rPr>
          <w:rFonts w:ascii="Arial" w:hAnsi="Arial" w:cs="Arial"/>
        </w:rPr>
        <w:t xml:space="preserve"> within medical devices.  In its safety communication the FDA</w:t>
      </w:r>
      <w:r w:rsidRPr="00307385">
        <w:rPr>
          <w:rFonts w:ascii="Arial" w:hAnsi="Arial" w:cs="Arial"/>
          <w:bCs/>
        </w:rPr>
        <w:t xml:space="preserve"> </w:t>
      </w:r>
      <w:r w:rsidRPr="00307385">
        <w:rPr>
          <w:rFonts w:ascii="Arial" w:hAnsi="Arial" w:cs="Arial"/>
        </w:rPr>
        <w:t xml:space="preserve">says it is conscious of  vulnerabilities such as malicious software installed in networked medical devices, hospital computers, smartphones, and tablets. </w:t>
      </w:r>
    </w:p>
    <w:p w:rsidR="003641E5" w:rsidRPr="00307385" w:rsidRDefault="009707A5" w:rsidP="00BF6BEC">
      <w:pPr>
        <w:pStyle w:val="ListParagraph"/>
        <w:numPr>
          <w:ilvl w:val="1"/>
          <w:numId w:val="9"/>
        </w:numPr>
        <w:spacing w:after="0" w:line="240" w:lineRule="auto"/>
        <w:rPr>
          <w:rFonts w:ascii="Arial" w:hAnsi="Arial" w:cs="Arial"/>
        </w:rPr>
      </w:pPr>
      <w:r w:rsidRPr="00307385">
        <w:rPr>
          <w:rFonts w:ascii="Arial" w:eastAsia="Times New Roman" w:hAnsi="Arial" w:cs="Arial"/>
        </w:rPr>
        <w:t xml:space="preserve">Johnson &amp; Johnson subsidiary Codman </w:t>
      </w:r>
      <w:proofErr w:type="spellStart"/>
      <w:r w:rsidRPr="00307385">
        <w:rPr>
          <w:rFonts w:ascii="Arial" w:eastAsia="Times New Roman" w:hAnsi="Arial" w:cs="Arial"/>
        </w:rPr>
        <w:t>Neuro</w:t>
      </w:r>
      <w:proofErr w:type="spellEnd"/>
      <w:r w:rsidRPr="00307385">
        <w:rPr>
          <w:rFonts w:ascii="Arial" w:eastAsia="Times New Roman" w:hAnsi="Arial" w:cs="Arial"/>
        </w:rPr>
        <w:t xml:space="preserve"> has had its </w:t>
      </w:r>
      <w:r w:rsidRPr="00307385">
        <w:rPr>
          <w:rFonts w:ascii="Arial" w:hAnsi="Arial" w:cs="Arial"/>
        </w:rPr>
        <w:t>self-expanding clot removal device</w:t>
      </w:r>
      <w:r w:rsidRPr="00307385">
        <w:rPr>
          <w:rFonts w:ascii="Arial" w:eastAsia="Times New Roman" w:hAnsi="Arial" w:cs="Arial"/>
        </w:rPr>
        <w:t xml:space="preserve"> approved in Europe.</w:t>
      </w:r>
    </w:p>
    <w:p w:rsidR="00C8156E" w:rsidRPr="001E52D7" w:rsidRDefault="00C8156E" w:rsidP="00C8156E">
      <w:pPr>
        <w:pStyle w:val="ListParagraph"/>
        <w:spacing w:after="0" w:line="240" w:lineRule="auto"/>
        <w:rPr>
          <w:rFonts w:ascii="Arial" w:hAnsi="Arial" w:cs="Arial"/>
          <w:color w:val="7030A0"/>
        </w:rPr>
      </w:pPr>
    </w:p>
    <w:p w:rsidR="00774B25" w:rsidRDefault="00774B25" w:rsidP="00774B25">
      <w:pPr>
        <w:pStyle w:val="Heading3"/>
        <w:spacing w:before="0" w:line="240" w:lineRule="auto"/>
      </w:pPr>
      <w:bookmarkStart w:id="10" w:name="_Toc362333791"/>
      <w:r>
        <w:t>Other</w:t>
      </w:r>
      <w:bookmarkEnd w:id="10"/>
    </w:p>
    <w:p w:rsidR="00774B25" w:rsidRPr="00307385" w:rsidRDefault="00BF6BEC" w:rsidP="00BF6BEC">
      <w:pPr>
        <w:pStyle w:val="ListParagraph"/>
        <w:numPr>
          <w:ilvl w:val="1"/>
          <w:numId w:val="35"/>
        </w:numPr>
        <w:spacing w:after="0" w:line="240" w:lineRule="auto"/>
        <w:rPr>
          <w:rFonts w:ascii="Arial" w:hAnsi="Arial" w:cs="Arial"/>
        </w:rPr>
      </w:pPr>
      <w:proofErr w:type="spellStart"/>
      <w:r w:rsidRPr="00307385">
        <w:rPr>
          <w:rFonts w:ascii="Arial" w:hAnsi="Arial" w:cs="Arial"/>
        </w:rPr>
        <w:t>Abyrx</w:t>
      </w:r>
      <w:proofErr w:type="spellEnd"/>
      <w:r w:rsidRPr="00307385">
        <w:rPr>
          <w:rFonts w:ascii="Arial" w:hAnsi="Arial" w:cs="Arial"/>
        </w:rPr>
        <w:t xml:space="preserve"> has received FDA clearance for its absorbable haemostatic bone putty (AHBP).  The putty is ready-to-use without requiring mixing or warming.  It is composed of water soluble and synthetic dispersible components that are absorbed within days following surgery. </w:t>
      </w:r>
    </w:p>
    <w:p w:rsidR="001E52D7" w:rsidRPr="00BF6BEC" w:rsidRDefault="001E52D7" w:rsidP="00BF6BEC">
      <w:pPr>
        <w:pStyle w:val="ListParagraph"/>
        <w:numPr>
          <w:ilvl w:val="1"/>
          <w:numId w:val="35"/>
        </w:numPr>
        <w:spacing w:line="240" w:lineRule="auto"/>
        <w:rPr>
          <w:rFonts w:ascii="Arial" w:hAnsi="Arial" w:cs="Arial"/>
          <w:color w:val="7030A0"/>
        </w:rPr>
      </w:pPr>
      <w:r w:rsidRPr="00307385">
        <w:rPr>
          <w:rFonts w:ascii="Arial" w:hAnsi="Arial" w:cs="Arial"/>
        </w:rPr>
        <w:t xml:space="preserve">The European Commission has granted orphan drug designation to </w:t>
      </w:r>
      <w:proofErr w:type="spellStart"/>
      <w:r w:rsidRPr="00307385">
        <w:rPr>
          <w:rFonts w:ascii="Arial" w:hAnsi="Arial" w:cs="Arial"/>
        </w:rPr>
        <w:t>Maribavir</w:t>
      </w:r>
      <w:proofErr w:type="spellEnd"/>
      <w:r w:rsidRPr="00307385">
        <w:rPr>
          <w:rFonts w:ascii="Arial" w:hAnsi="Arial" w:cs="Arial"/>
        </w:rPr>
        <w:t xml:space="preserve">, </w:t>
      </w:r>
      <w:hyperlink r:id="rId10" w:history="1">
        <w:proofErr w:type="spellStart"/>
        <w:r w:rsidRPr="00307385">
          <w:rPr>
            <w:rStyle w:val="Hyperlink"/>
            <w:rFonts w:ascii="Arial" w:hAnsi="Arial" w:cs="Arial"/>
            <w:color w:val="auto"/>
            <w:u w:val="none"/>
          </w:rPr>
          <w:t>ViroPharma’s</w:t>
        </w:r>
        <w:proofErr w:type="spellEnd"/>
      </w:hyperlink>
      <w:r w:rsidRPr="00307385">
        <w:rPr>
          <w:rFonts w:ascii="Arial" w:hAnsi="Arial" w:cs="Arial"/>
        </w:rPr>
        <w:t xml:space="preserve"> experimental treatment of </w:t>
      </w:r>
      <w:proofErr w:type="spellStart"/>
      <w:r w:rsidRPr="00307385">
        <w:rPr>
          <w:rFonts w:ascii="Arial" w:hAnsi="Arial" w:cs="Arial"/>
        </w:rPr>
        <w:t>cytomegaloviral</w:t>
      </w:r>
      <w:proofErr w:type="spellEnd"/>
      <w:r w:rsidRPr="00307385">
        <w:rPr>
          <w:rFonts w:ascii="Arial" w:hAnsi="Arial" w:cs="Arial"/>
        </w:rPr>
        <w:t xml:space="preserve"> disease in patients with impaired immune systems</w:t>
      </w:r>
      <w:r w:rsidRPr="00141FC4">
        <w:rPr>
          <w:rFonts w:ascii="Arial" w:hAnsi="Arial" w:cs="Arial"/>
          <w:color w:val="7030A0"/>
        </w:rPr>
        <w:t>.</w:t>
      </w:r>
    </w:p>
    <w:p w:rsidR="003641E5" w:rsidRDefault="00DE5640" w:rsidP="00BF6BEC">
      <w:pPr>
        <w:pStyle w:val="ListParagraph"/>
        <w:numPr>
          <w:ilvl w:val="1"/>
          <w:numId w:val="35"/>
        </w:numPr>
        <w:spacing w:after="0" w:line="240" w:lineRule="auto"/>
        <w:rPr>
          <w:rFonts w:ascii="Arial" w:hAnsi="Arial" w:cs="Arial"/>
        </w:rPr>
      </w:pPr>
      <w:r w:rsidRPr="00DE5640">
        <w:rPr>
          <w:rFonts w:ascii="Arial" w:hAnsi="Arial" w:cs="Arial"/>
        </w:rPr>
        <w:t xml:space="preserve">India’s </w:t>
      </w:r>
      <w:proofErr w:type="spellStart"/>
      <w:r w:rsidRPr="00DE5640">
        <w:rPr>
          <w:rFonts w:ascii="Arial" w:hAnsi="Arial" w:cs="Arial"/>
        </w:rPr>
        <w:t>Axio-Biosolutions</w:t>
      </w:r>
      <w:proofErr w:type="spellEnd"/>
      <w:r w:rsidRPr="00DE5640">
        <w:rPr>
          <w:rFonts w:ascii="Arial" w:hAnsi="Arial" w:cs="Arial"/>
        </w:rPr>
        <w:t xml:space="preserve"> </w:t>
      </w:r>
      <w:r>
        <w:rPr>
          <w:rFonts w:ascii="Arial" w:hAnsi="Arial" w:cs="Arial"/>
        </w:rPr>
        <w:t xml:space="preserve">has had its </w:t>
      </w:r>
      <w:proofErr w:type="spellStart"/>
      <w:r>
        <w:rPr>
          <w:rFonts w:ascii="Arial" w:hAnsi="Arial" w:cs="Arial"/>
        </w:rPr>
        <w:t>Axistat</w:t>
      </w:r>
      <w:proofErr w:type="spellEnd"/>
      <w:r>
        <w:rPr>
          <w:rFonts w:ascii="Arial" w:hAnsi="Arial" w:cs="Arial"/>
        </w:rPr>
        <w:t xml:space="preserve"> haemostatic dressing approved in Europe.  This is non- absorbable and sticks to </w:t>
      </w:r>
      <w:r w:rsidR="008E50EC">
        <w:rPr>
          <w:rFonts w:ascii="Arial" w:hAnsi="Arial" w:cs="Arial"/>
        </w:rPr>
        <w:t>the wound, but wipes o</w:t>
      </w:r>
      <w:r>
        <w:rPr>
          <w:rFonts w:ascii="Arial" w:hAnsi="Arial" w:cs="Arial"/>
        </w:rPr>
        <w:t>ff when wetted with water or saline.</w:t>
      </w:r>
    </w:p>
    <w:p w:rsidR="00BF6BEC" w:rsidRPr="00DE5640" w:rsidRDefault="00BF6BEC" w:rsidP="00BF6BEC">
      <w:pPr>
        <w:pStyle w:val="ListParagraph"/>
        <w:spacing w:after="0" w:line="240" w:lineRule="auto"/>
        <w:rPr>
          <w:rFonts w:ascii="Arial" w:hAnsi="Arial" w:cs="Arial"/>
        </w:rPr>
      </w:pPr>
    </w:p>
    <w:p w:rsidR="00AF3075" w:rsidRPr="00F7100D" w:rsidRDefault="001C2106" w:rsidP="009C7F66">
      <w:pPr>
        <w:pStyle w:val="Heading1"/>
        <w:numPr>
          <w:ilvl w:val="0"/>
          <w:numId w:val="2"/>
        </w:numPr>
        <w:spacing w:before="0"/>
        <w:ind w:left="360"/>
        <w:rPr>
          <w:color w:val="FF0000"/>
        </w:rPr>
      </w:pPr>
      <w:bookmarkStart w:id="11" w:name="_Toc362333792"/>
      <w:r w:rsidRPr="00F7100D">
        <w:rPr>
          <w:color w:val="FF0000"/>
        </w:rPr>
        <w:t>Market</w:t>
      </w:r>
      <w:r w:rsidR="00AF3075" w:rsidRPr="00F7100D">
        <w:rPr>
          <w:color w:val="FF0000"/>
        </w:rPr>
        <w:t xml:space="preserve"> structure and </w:t>
      </w:r>
      <w:r w:rsidRPr="00F7100D">
        <w:rPr>
          <w:color w:val="FF0000"/>
        </w:rPr>
        <w:t>company</w:t>
      </w:r>
      <w:r w:rsidR="00AF3075" w:rsidRPr="00F7100D">
        <w:rPr>
          <w:color w:val="FF0000"/>
        </w:rPr>
        <w:t xml:space="preserve"> news</w:t>
      </w:r>
      <w:bookmarkEnd w:id="11"/>
    </w:p>
    <w:p w:rsidR="001073A7" w:rsidRDefault="001C2106" w:rsidP="00EE0F67">
      <w:pPr>
        <w:spacing w:after="0" w:line="240" w:lineRule="auto"/>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BF6BEC" w:rsidRPr="007E3D7A" w:rsidRDefault="00BF6BEC" w:rsidP="00EE0F67">
      <w:pPr>
        <w:spacing w:after="0" w:line="240" w:lineRule="auto"/>
        <w:rPr>
          <w:rFonts w:ascii="Arial" w:hAnsi="Arial" w:cs="Arial"/>
          <w:b/>
          <w:sz w:val="28"/>
          <w:szCs w:val="28"/>
          <w:vertAlign w:val="subscript"/>
        </w:rPr>
      </w:pPr>
    </w:p>
    <w:p w:rsidR="00BF6BEC" w:rsidRPr="00837332" w:rsidRDefault="00BF6BEC" w:rsidP="00BF6BEC">
      <w:pPr>
        <w:pStyle w:val="ListParagraph"/>
        <w:numPr>
          <w:ilvl w:val="1"/>
          <w:numId w:val="10"/>
        </w:numPr>
        <w:spacing w:line="240" w:lineRule="auto"/>
        <w:rPr>
          <w:rFonts w:ascii="Arial" w:eastAsia="Times New Roman" w:hAnsi="Arial" w:cs="Arial"/>
          <w:lang w:eastAsia="en-AU"/>
        </w:rPr>
      </w:pPr>
      <w:r w:rsidRPr="00837332">
        <w:rPr>
          <w:rFonts w:ascii="Arial" w:hAnsi="Arial" w:cs="Arial"/>
        </w:rPr>
        <w:t xml:space="preserve">Recombinant clotting factors in development are expected to be the first therapies produced in </w:t>
      </w:r>
      <w:r w:rsidRPr="00BF6BEC">
        <w:rPr>
          <w:rFonts w:ascii="Arial" w:hAnsi="Arial" w:cs="Arial"/>
          <w:b/>
        </w:rPr>
        <w:t>CSL Behring</w:t>
      </w:r>
      <w:r w:rsidRPr="00837332">
        <w:rPr>
          <w:rFonts w:ascii="Arial" w:hAnsi="Arial" w:cs="Arial"/>
        </w:rPr>
        <w:t xml:space="preserve">’s new Biotechnology Facility in Broadmeadows. The new facility is currently producing test batches of recombinant proteins and will begin manufacture of clinical trial material early in 2014. </w:t>
      </w:r>
    </w:p>
    <w:p w:rsidR="00BF6BEC" w:rsidRDefault="00BF6BEC" w:rsidP="00BF6BEC">
      <w:pPr>
        <w:pStyle w:val="ListParagraph"/>
        <w:numPr>
          <w:ilvl w:val="1"/>
          <w:numId w:val="10"/>
        </w:numPr>
        <w:spacing w:line="240" w:lineRule="auto"/>
        <w:rPr>
          <w:rFonts w:ascii="Arial" w:eastAsia="Times New Roman" w:hAnsi="Arial" w:cs="Arial"/>
          <w:lang w:eastAsia="en-AU"/>
        </w:rPr>
      </w:pPr>
      <w:proofErr w:type="spellStart"/>
      <w:r w:rsidRPr="00BF6BEC">
        <w:rPr>
          <w:rFonts w:ascii="Arial" w:eastAsia="Times New Roman" w:hAnsi="Arial" w:cs="Arial"/>
          <w:b/>
          <w:lang w:eastAsia="en-AU"/>
        </w:rPr>
        <w:t>Grifols</w:t>
      </w:r>
      <w:proofErr w:type="spellEnd"/>
      <w:r>
        <w:rPr>
          <w:rFonts w:ascii="Arial" w:eastAsia="Times New Roman" w:hAnsi="Arial" w:cs="Arial"/>
          <w:lang w:eastAsia="en-AU"/>
        </w:rPr>
        <w:t xml:space="preserve"> announced the three publications concerning von </w:t>
      </w:r>
      <w:proofErr w:type="spellStart"/>
      <w:r>
        <w:rPr>
          <w:rFonts w:ascii="Arial" w:eastAsia="Times New Roman" w:hAnsi="Arial" w:cs="Arial"/>
          <w:lang w:eastAsia="en-AU"/>
        </w:rPr>
        <w:t>Willebrand</w:t>
      </w:r>
      <w:proofErr w:type="spellEnd"/>
      <w:r>
        <w:rPr>
          <w:rFonts w:ascii="Arial" w:eastAsia="Times New Roman" w:hAnsi="Arial" w:cs="Arial"/>
          <w:lang w:eastAsia="en-AU"/>
        </w:rPr>
        <w:t xml:space="preserve"> factor which won its Martin </w:t>
      </w:r>
      <w:proofErr w:type="spellStart"/>
      <w:r>
        <w:rPr>
          <w:rFonts w:ascii="Arial" w:eastAsia="Times New Roman" w:hAnsi="Arial" w:cs="Arial"/>
          <w:lang w:eastAsia="en-AU"/>
        </w:rPr>
        <w:t>Villar</w:t>
      </w:r>
      <w:proofErr w:type="spellEnd"/>
      <w:r>
        <w:rPr>
          <w:rFonts w:ascii="Arial" w:eastAsia="Times New Roman" w:hAnsi="Arial" w:cs="Arial"/>
          <w:lang w:eastAsia="en-AU"/>
        </w:rPr>
        <w:t xml:space="preserve"> Research Awards</w:t>
      </w:r>
      <w:r>
        <w:rPr>
          <w:rStyle w:val="FootnoteReference"/>
          <w:rFonts w:ascii="Arial" w:eastAsia="Times New Roman" w:hAnsi="Arial" w:cs="Arial"/>
          <w:lang w:eastAsia="en-AU"/>
        </w:rPr>
        <w:footnoteReference w:id="12"/>
      </w:r>
      <w:r>
        <w:rPr>
          <w:rFonts w:ascii="Arial" w:eastAsia="Times New Roman" w:hAnsi="Arial" w:cs="Arial"/>
          <w:lang w:eastAsia="en-AU"/>
        </w:rPr>
        <w:t>.</w:t>
      </w:r>
    </w:p>
    <w:p w:rsidR="0017576A" w:rsidRPr="00307385" w:rsidRDefault="0044518E" w:rsidP="0017576A">
      <w:pPr>
        <w:pStyle w:val="ListParagraph"/>
        <w:numPr>
          <w:ilvl w:val="1"/>
          <w:numId w:val="10"/>
        </w:numPr>
        <w:spacing w:line="240" w:lineRule="auto"/>
        <w:rPr>
          <w:rFonts w:ascii="Arial" w:hAnsi="Arial" w:cs="Arial"/>
          <w:b/>
          <w:lang w:val="en-US"/>
        </w:rPr>
      </w:pPr>
      <w:hyperlink r:id="rId11" w:history="1">
        <w:r w:rsidR="00AF0758" w:rsidRPr="00307385">
          <w:rPr>
            <w:rStyle w:val="Hyperlink"/>
            <w:rFonts w:ascii="Arial" w:hAnsi="Arial" w:cs="Arial"/>
            <w:b/>
            <w:color w:val="auto"/>
            <w:u w:val="none"/>
          </w:rPr>
          <w:t>Novo Nordisk</w:t>
        </w:r>
      </w:hyperlink>
      <w:r w:rsidR="00AF0758" w:rsidRPr="00307385">
        <w:rPr>
          <w:rFonts w:ascii="Arial" w:hAnsi="Arial" w:cs="Arial"/>
          <w:b/>
        </w:rPr>
        <w:t xml:space="preserve"> </w:t>
      </w:r>
      <w:r w:rsidR="00AF0758" w:rsidRPr="00307385">
        <w:rPr>
          <w:rFonts w:ascii="Arial" w:hAnsi="Arial" w:cs="Arial"/>
        </w:rPr>
        <w:t>was reported to be facing a tax claim for around $US 975 million from Danish authorities, relating to the valuation of two drug patents that were removed to Switzerland</w:t>
      </w:r>
      <w:r w:rsidR="00AF0758" w:rsidRPr="00307385">
        <w:rPr>
          <w:rFonts w:ascii="Georgia" w:hAnsi="Georgia"/>
        </w:rPr>
        <w:t>.</w:t>
      </w:r>
    </w:p>
    <w:p w:rsidR="0017576A" w:rsidRPr="00307385" w:rsidRDefault="0017576A" w:rsidP="0017576A">
      <w:pPr>
        <w:pStyle w:val="ListParagraph"/>
        <w:numPr>
          <w:ilvl w:val="1"/>
          <w:numId w:val="10"/>
        </w:numPr>
        <w:spacing w:line="240" w:lineRule="auto"/>
        <w:rPr>
          <w:rFonts w:ascii="Arial" w:hAnsi="Arial" w:cs="Arial"/>
          <w:b/>
          <w:lang w:val="en-US"/>
        </w:rPr>
      </w:pPr>
      <w:proofErr w:type="spellStart"/>
      <w:r w:rsidRPr="00307385">
        <w:rPr>
          <w:rFonts w:ascii="Arial" w:hAnsi="Arial" w:cs="Arial"/>
          <w:b/>
        </w:rPr>
        <w:t>Cerus</w:t>
      </w:r>
      <w:proofErr w:type="spellEnd"/>
      <w:r w:rsidRPr="00307385">
        <w:rPr>
          <w:rFonts w:ascii="Arial" w:hAnsi="Arial" w:cs="Arial"/>
          <w:b/>
        </w:rPr>
        <w:t xml:space="preserve"> Corporation</w:t>
      </w:r>
      <w:r w:rsidRPr="00307385">
        <w:rPr>
          <w:rFonts w:ascii="Arial" w:hAnsi="Arial" w:cs="Arial"/>
        </w:rPr>
        <w:t xml:space="preserve"> has begun enrolling patients in two European Phase III clinical trials for the INTERCEPT System for red blood cells.  One trial is for patients with acute </w:t>
      </w:r>
      <w:proofErr w:type="gramStart"/>
      <w:r w:rsidRPr="00307385">
        <w:rPr>
          <w:rFonts w:ascii="Arial" w:hAnsi="Arial" w:cs="Arial"/>
        </w:rPr>
        <w:t>anaemia,</w:t>
      </w:r>
      <w:proofErr w:type="gramEnd"/>
      <w:r w:rsidRPr="00307385">
        <w:rPr>
          <w:rFonts w:ascii="Arial" w:hAnsi="Arial" w:cs="Arial"/>
        </w:rPr>
        <w:t xml:space="preserve"> and the other for patients with chronic anaemia.</w:t>
      </w:r>
    </w:p>
    <w:p w:rsidR="0017576A" w:rsidRPr="00307385" w:rsidRDefault="0017576A" w:rsidP="008331DF">
      <w:pPr>
        <w:pStyle w:val="ListParagraph"/>
        <w:numPr>
          <w:ilvl w:val="1"/>
          <w:numId w:val="10"/>
        </w:numPr>
        <w:spacing w:line="240" w:lineRule="auto"/>
        <w:rPr>
          <w:rFonts w:ascii="Arial" w:hAnsi="Arial" w:cs="Arial"/>
          <w:b/>
          <w:lang w:val="en-US"/>
        </w:rPr>
      </w:pPr>
      <w:proofErr w:type="spellStart"/>
      <w:r w:rsidRPr="00307385">
        <w:rPr>
          <w:rFonts w:ascii="Arial" w:hAnsi="Arial" w:cs="Arial"/>
          <w:b/>
          <w:lang w:val="en"/>
        </w:rPr>
        <w:lastRenderedPageBreak/>
        <w:t>Cangene</w:t>
      </w:r>
      <w:proofErr w:type="spellEnd"/>
      <w:r w:rsidRPr="00307385">
        <w:rPr>
          <w:rFonts w:ascii="Arial" w:hAnsi="Arial" w:cs="Arial"/>
          <w:b/>
          <w:lang w:val="en"/>
        </w:rPr>
        <w:t xml:space="preserve"> Corporation</w:t>
      </w:r>
      <w:r w:rsidRPr="00307385">
        <w:rPr>
          <w:rFonts w:ascii="Arial" w:hAnsi="Arial" w:cs="Arial"/>
          <w:lang w:val="en"/>
        </w:rPr>
        <w:t xml:space="preserve"> reported its results for the third quarter of 2013, which ended on </w:t>
      </w:r>
      <w:r w:rsidRPr="00307385">
        <w:rPr>
          <w:rStyle w:val="xn-chron"/>
          <w:rFonts w:ascii="Arial" w:hAnsi="Arial" w:cs="Arial"/>
          <w:lang w:val="en"/>
        </w:rPr>
        <w:t>April 30, 2013</w:t>
      </w:r>
      <w:r w:rsidRPr="00307385">
        <w:rPr>
          <w:rFonts w:ascii="Arial" w:hAnsi="Arial" w:cs="Arial"/>
          <w:lang w:val="en"/>
        </w:rPr>
        <w:t xml:space="preserve">.  Total revenue for the quarter was </w:t>
      </w:r>
      <w:r w:rsidRPr="00307385">
        <w:rPr>
          <w:rStyle w:val="xn-money"/>
          <w:rFonts w:ascii="Arial" w:hAnsi="Arial" w:cs="Arial"/>
          <w:lang w:val="en"/>
        </w:rPr>
        <w:t>$C40.2 million</w:t>
      </w:r>
      <w:r w:rsidRPr="00307385">
        <w:rPr>
          <w:rFonts w:ascii="Arial" w:hAnsi="Arial" w:cs="Arial"/>
          <w:lang w:val="en"/>
        </w:rPr>
        <w:t xml:space="preserve">, compared with </w:t>
      </w:r>
      <w:r w:rsidRPr="00307385">
        <w:rPr>
          <w:rStyle w:val="xn-money"/>
          <w:rFonts w:ascii="Arial" w:hAnsi="Arial" w:cs="Arial"/>
          <w:lang w:val="en"/>
        </w:rPr>
        <w:t>$C27.5 million</w:t>
      </w:r>
      <w:r w:rsidRPr="00307385">
        <w:rPr>
          <w:rFonts w:ascii="Arial" w:hAnsi="Arial" w:cs="Arial"/>
          <w:lang w:val="en"/>
        </w:rPr>
        <w:t xml:space="preserve"> in the same period last year. </w:t>
      </w:r>
    </w:p>
    <w:p w:rsidR="00190816" w:rsidRPr="00307385" w:rsidRDefault="0044518E" w:rsidP="00190816">
      <w:pPr>
        <w:pStyle w:val="ListParagraph"/>
        <w:numPr>
          <w:ilvl w:val="1"/>
          <w:numId w:val="10"/>
        </w:numPr>
        <w:spacing w:line="240" w:lineRule="auto"/>
        <w:rPr>
          <w:rFonts w:ascii="Arial" w:hAnsi="Arial" w:cs="Arial"/>
          <w:b/>
          <w:lang w:val="en-US"/>
        </w:rPr>
      </w:pPr>
      <w:hyperlink r:id="rId12" w:history="1">
        <w:proofErr w:type="spellStart"/>
        <w:r w:rsidR="00190816" w:rsidRPr="00307385">
          <w:rPr>
            <w:rStyle w:val="Hyperlink"/>
            <w:rFonts w:ascii="Arial" w:eastAsia="HYGothic-Extra" w:hAnsi="Arial" w:cs="Arial"/>
            <w:b/>
            <w:color w:val="auto"/>
            <w:u w:val="none"/>
          </w:rPr>
          <w:t>Akebia</w:t>
        </w:r>
        <w:proofErr w:type="spellEnd"/>
        <w:r w:rsidR="00190816" w:rsidRPr="00307385">
          <w:rPr>
            <w:rStyle w:val="Hyperlink"/>
            <w:rFonts w:ascii="Arial" w:eastAsia="HYGothic-Extra" w:hAnsi="Arial" w:cs="Arial"/>
            <w:b/>
            <w:color w:val="auto"/>
            <w:u w:val="none"/>
          </w:rPr>
          <w:t xml:space="preserve"> Therapeutics</w:t>
        </w:r>
        <w:r w:rsidR="00190816" w:rsidRPr="00307385">
          <w:rPr>
            <w:rStyle w:val="Hyperlink"/>
            <w:rFonts w:ascii="Arial" w:eastAsia="HYGothic-Extra" w:hAnsi="Arial" w:cs="Arial"/>
            <w:color w:val="auto"/>
            <w:u w:val="none"/>
          </w:rPr>
          <w:t xml:space="preserve"> has raised $US41 million to challenge </w:t>
        </w:r>
      </w:hyperlink>
      <w:hyperlink r:id="rId13" w:history="1">
        <w:r w:rsidR="00190816" w:rsidRPr="00307385">
          <w:rPr>
            <w:rStyle w:val="Hyperlink"/>
            <w:rFonts w:ascii="Arial" w:eastAsia="HYGothic-Extra" w:hAnsi="Arial" w:cs="Arial"/>
            <w:color w:val="auto"/>
            <w:u w:val="none"/>
          </w:rPr>
          <w:t>Amgen</w:t>
        </w:r>
      </w:hyperlink>
      <w:r w:rsidR="00190816" w:rsidRPr="00307385">
        <w:rPr>
          <w:rStyle w:val="djarticleplain"/>
          <w:rFonts w:ascii="Arial" w:hAnsi="Arial" w:cs="Arial"/>
        </w:rPr>
        <w:t xml:space="preserve"> and </w:t>
      </w:r>
      <w:hyperlink r:id="rId14" w:history="1">
        <w:r w:rsidR="00190816" w:rsidRPr="00307385">
          <w:rPr>
            <w:rStyle w:val="Hyperlink"/>
            <w:rFonts w:ascii="Arial" w:eastAsia="HYGothic-Extra" w:hAnsi="Arial" w:cs="Arial"/>
            <w:color w:val="auto"/>
            <w:u w:val="none"/>
          </w:rPr>
          <w:t>Johnson &amp; Johnson</w:t>
        </w:r>
      </w:hyperlink>
      <w:r w:rsidR="00190816" w:rsidRPr="00307385">
        <w:rPr>
          <w:rStyle w:val="djarticleplain"/>
          <w:rFonts w:ascii="Arial" w:hAnsi="Arial" w:cs="Arial"/>
        </w:rPr>
        <w:t xml:space="preserve"> in the anaemia-drug market.</w:t>
      </w:r>
      <w:r w:rsidR="00190816" w:rsidRPr="00307385">
        <w:rPr>
          <w:rFonts w:ascii="Arial" w:hAnsi="Arial" w:cs="Arial"/>
        </w:rPr>
        <w:t xml:space="preserve"> </w:t>
      </w:r>
      <w:r w:rsidR="00190816" w:rsidRPr="00307385">
        <w:rPr>
          <w:rStyle w:val="djarticleplain"/>
          <w:rFonts w:ascii="Arial" w:hAnsi="Arial" w:cs="Arial"/>
        </w:rPr>
        <w:t xml:space="preserve">Synthetic versions of the human hormone erythropoietin stimulate red blood cell production, but Amgen's </w:t>
      </w:r>
      <w:proofErr w:type="spellStart"/>
      <w:r w:rsidR="00190816" w:rsidRPr="00307385">
        <w:rPr>
          <w:rStyle w:val="djarticleplain"/>
          <w:rFonts w:ascii="Arial" w:hAnsi="Arial" w:cs="Arial"/>
        </w:rPr>
        <w:t>Epogen</w:t>
      </w:r>
      <w:proofErr w:type="spellEnd"/>
      <w:r w:rsidR="00190816" w:rsidRPr="00307385">
        <w:rPr>
          <w:rStyle w:val="djarticleplain"/>
          <w:rFonts w:ascii="Arial" w:hAnsi="Arial" w:cs="Arial"/>
        </w:rPr>
        <w:t xml:space="preserve"> and J&amp;J's Procrit carry safety warnings, including one that patients could develop cardiovascular problems. </w:t>
      </w:r>
    </w:p>
    <w:p w:rsidR="00364574" w:rsidRPr="00307385" w:rsidRDefault="00E4454F" w:rsidP="00364574">
      <w:pPr>
        <w:pStyle w:val="ListParagraph"/>
        <w:numPr>
          <w:ilvl w:val="1"/>
          <w:numId w:val="10"/>
        </w:numPr>
        <w:spacing w:line="240" w:lineRule="auto"/>
        <w:rPr>
          <w:rFonts w:ascii="Arial" w:eastAsia="Times New Roman" w:hAnsi="Arial" w:cs="Arial"/>
          <w:lang w:eastAsia="en-AU"/>
        </w:rPr>
      </w:pPr>
      <w:r w:rsidRPr="00307385">
        <w:rPr>
          <w:rFonts w:ascii="Arial" w:hAnsi="Arial" w:cs="Arial"/>
          <w:b/>
        </w:rPr>
        <w:t>Amgen</w:t>
      </w:r>
      <w:r w:rsidRPr="00307385">
        <w:rPr>
          <w:rFonts w:ascii="Arial" w:hAnsi="Arial" w:cs="Arial"/>
        </w:rPr>
        <w:t xml:space="preserve"> has increased the price of </w:t>
      </w:r>
      <w:proofErr w:type="spellStart"/>
      <w:r w:rsidRPr="00307385">
        <w:rPr>
          <w:rFonts w:ascii="Arial" w:hAnsi="Arial" w:cs="Arial"/>
        </w:rPr>
        <w:t>Epogen</w:t>
      </w:r>
      <w:proofErr w:type="spellEnd"/>
      <w:r w:rsidRPr="00307385">
        <w:rPr>
          <w:rFonts w:ascii="Arial" w:hAnsi="Arial" w:cs="Arial"/>
        </w:rPr>
        <w:t xml:space="preserve">, its anaemia drug for dialysis patients, by 5 per cent, the first price change for the drug since 2011.  This followed the withdrawal of </w:t>
      </w:r>
      <w:proofErr w:type="spellStart"/>
      <w:r w:rsidRPr="00307385">
        <w:rPr>
          <w:rFonts w:ascii="Arial" w:hAnsi="Arial" w:cs="Arial"/>
        </w:rPr>
        <w:t>Affymax’s</w:t>
      </w:r>
      <w:proofErr w:type="spellEnd"/>
      <w:r w:rsidRPr="00307385">
        <w:rPr>
          <w:rFonts w:ascii="Arial" w:hAnsi="Arial" w:cs="Arial"/>
        </w:rPr>
        <w:t xml:space="preserve"> </w:t>
      </w:r>
      <w:proofErr w:type="spellStart"/>
      <w:r w:rsidRPr="00307385">
        <w:rPr>
          <w:rFonts w:ascii="Arial" w:hAnsi="Arial" w:cs="Arial"/>
        </w:rPr>
        <w:t>Omontys</w:t>
      </w:r>
      <w:proofErr w:type="spellEnd"/>
      <w:r w:rsidRPr="00307385">
        <w:rPr>
          <w:rFonts w:ascii="Arial" w:hAnsi="Arial" w:cs="Arial"/>
        </w:rPr>
        <w:t xml:space="preserve"> anaemia drug from the market after three patient deaths linked to a series of hypersensitivity reactions. </w:t>
      </w:r>
      <w:proofErr w:type="spellStart"/>
      <w:r w:rsidRPr="00307385">
        <w:rPr>
          <w:rFonts w:ascii="Arial" w:hAnsi="Arial" w:cs="Arial"/>
        </w:rPr>
        <w:t>Omontys</w:t>
      </w:r>
      <w:proofErr w:type="spellEnd"/>
      <w:r w:rsidRPr="00307385">
        <w:rPr>
          <w:rFonts w:ascii="Arial" w:hAnsi="Arial" w:cs="Arial"/>
        </w:rPr>
        <w:t xml:space="preserve"> required once-a-month dosing compared to three-times-a-week for </w:t>
      </w:r>
      <w:proofErr w:type="spellStart"/>
      <w:r w:rsidRPr="00307385">
        <w:rPr>
          <w:rFonts w:ascii="Arial" w:hAnsi="Arial" w:cs="Arial"/>
        </w:rPr>
        <w:t>Epogen</w:t>
      </w:r>
      <w:proofErr w:type="spellEnd"/>
      <w:r w:rsidRPr="00307385">
        <w:rPr>
          <w:rFonts w:ascii="Arial" w:hAnsi="Arial" w:cs="Arial"/>
        </w:rPr>
        <w:t>.</w:t>
      </w:r>
    </w:p>
    <w:p w:rsidR="00B839A9" w:rsidRPr="00307385" w:rsidRDefault="00364574" w:rsidP="00B839A9">
      <w:pPr>
        <w:pStyle w:val="ListParagraph"/>
        <w:numPr>
          <w:ilvl w:val="1"/>
          <w:numId w:val="10"/>
        </w:numPr>
        <w:spacing w:line="240" w:lineRule="auto"/>
        <w:rPr>
          <w:rFonts w:ascii="Arial" w:eastAsia="Times New Roman" w:hAnsi="Arial" w:cs="Arial"/>
          <w:lang w:eastAsia="en-AU"/>
        </w:rPr>
      </w:pPr>
      <w:r w:rsidRPr="00307385">
        <w:rPr>
          <w:rFonts w:ascii="Arial" w:hAnsi="Arial" w:cs="Arial"/>
        </w:rPr>
        <w:t xml:space="preserve">The Board of </w:t>
      </w:r>
      <w:proofErr w:type="spellStart"/>
      <w:r w:rsidRPr="00307385">
        <w:rPr>
          <w:rFonts w:ascii="Arial" w:hAnsi="Arial" w:cs="Arial"/>
          <w:b/>
        </w:rPr>
        <w:t>NuSep</w:t>
      </w:r>
      <w:proofErr w:type="spellEnd"/>
      <w:r w:rsidRPr="00307385">
        <w:rPr>
          <w:rFonts w:ascii="Arial" w:hAnsi="Arial" w:cs="Arial"/>
        </w:rPr>
        <w:t xml:space="preserve"> advised the market on 11 June that its Singapore subsidiary </w:t>
      </w:r>
      <w:proofErr w:type="spellStart"/>
      <w:r w:rsidRPr="00307385">
        <w:rPr>
          <w:rFonts w:ascii="Arial" w:hAnsi="Arial" w:cs="Arial"/>
          <w:b/>
        </w:rPr>
        <w:t>PrIME</w:t>
      </w:r>
      <w:proofErr w:type="spellEnd"/>
      <w:r w:rsidRPr="00307385">
        <w:rPr>
          <w:rFonts w:ascii="Arial" w:hAnsi="Arial" w:cs="Arial"/>
          <w:b/>
        </w:rPr>
        <w:t xml:space="preserve"> Biologics</w:t>
      </w:r>
      <w:r w:rsidRPr="00307385">
        <w:rPr>
          <w:rFonts w:ascii="Arial" w:hAnsi="Arial" w:cs="Arial"/>
        </w:rPr>
        <w:t xml:space="preserve"> had been granted a human plasma importation licence by the Singapore regulatory authority. Plasma imported from countries such as India will be processed in the </w:t>
      </w:r>
      <w:proofErr w:type="spellStart"/>
      <w:r w:rsidRPr="00307385">
        <w:rPr>
          <w:rFonts w:ascii="Arial" w:hAnsi="Arial" w:cs="Arial"/>
        </w:rPr>
        <w:t>PrIME</w:t>
      </w:r>
      <w:proofErr w:type="spellEnd"/>
      <w:r w:rsidRPr="00307385">
        <w:rPr>
          <w:rFonts w:ascii="Arial" w:hAnsi="Arial" w:cs="Arial"/>
        </w:rPr>
        <w:t xml:space="preserve"> Biologics Singapore facility for re-export as finished therapeutic plasma products. Processing will not begin until the company has received the certificate of Good Manufacturing Practice approval from Singapore’s Health Sciences Authority. </w:t>
      </w:r>
    </w:p>
    <w:p w:rsidR="00860AD3" w:rsidRPr="00307385" w:rsidRDefault="00B839A9" w:rsidP="00860AD3">
      <w:pPr>
        <w:pStyle w:val="ListParagraph"/>
        <w:numPr>
          <w:ilvl w:val="1"/>
          <w:numId w:val="10"/>
        </w:numPr>
        <w:spacing w:line="240" w:lineRule="auto"/>
        <w:rPr>
          <w:rFonts w:ascii="Arial" w:eastAsia="Times New Roman" w:hAnsi="Arial" w:cs="Arial"/>
          <w:lang w:eastAsia="en-AU"/>
        </w:rPr>
      </w:pPr>
      <w:proofErr w:type="spellStart"/>
      <w:r w:rsidRPr="00307385">
        <w:rPr>
          <w:rFonts w:ascii="Arial" w:hAnsi="Arial" w:cs="Arial"/>
          <w:b/>
        </w:rPr>
        <w:t>Ativa</w:t>
      </w:r>
      <w:proofErr w:type="spellEnd"/>
      <w:r w:rsidRPr="00307385">
        <w:rPr>
          <w:rFonts w:ascii="Arial" w:hAnsi="Arial" w:cs="Arial"/>
          <w:b/>
        </w:rPr>
        <w:t xml:space="preserve"> </w:t>
      </w:r>
      <w:r w:rsidRPr="00307385">
        <w:rPr>
          <w:rFonts w:ascii="Arial" w:hAnsi="Arial" w:cs="Arial"/>
        </w:rPr>
        <w:t>Medical is to issue debt in the amount of $US7 million to develop th</w:t>
      </w:r>
      <w:r w:rsidR="008E50EC" w:rsidRPr="00307385">
        <w:rPr>
          <w:rFonts w:ascii="Arial" w:hAnsi="Arial" w:cs="Arial"/>
        </w:rPr>
        <w:t xml:space="preserve">e "world's first micro-lab," a </w:t>
      </w:r>
      <w:r w:rsidRPr="00307385">
        <w:rPr>
          <w:rFonts w:ascii="Arial" w:hAnsi="Arial" w:cs="Arial"/>
        </w:rPr>
        <w:t xml:space="preserve">device that uses a single drop of blood on a test card. That is inserted in an </w:t>
      </w:r>
      <w:proofErr w:type="spellStart"/>
      <w:r w:rsidRPr="00307385">
        <w:rPr>
          <w:rFonts w:ascii="Arial" w:hAnsi="Arial" w:cs="Arial"/>
        </w:rPr>
        <w:t>analyzer</w:t>
      </w:r>
      <w:proofErr w:type="spellEnd"/>
      <w:r w:rsidRPr="00307385">
        <w:rPr>
          <w:rFonts w:ascii="Arial" w:hAnsi="Arial" w:cs="Arial"/>
        </w:rPr>
        <w:t xml:space="preserve"> which displays results in 3 to 5 minutes and can transfer them to other information systems.</w:t>
      </w:r>
    </w:p>
    <w:p w:rsidR="003C1E86" w:rsidRPr="00307385" w:rsidRDefault="00860AD3" w:rsidP="003C1E86">
      <w:pPr>
        <w:pStyle w:val="ListParagraph"/>
        <w:numPr>
          <w:ilvl w:val="1"/>
          <w:numId w:val="10"/>
        </w:numPr>
        <w:spacing w:line="240" w:lineRule="auto"/>
        <w:rPr>
          <w:rFonts w:ascii="Arial" w:eastAsia="Times New Roman" w:hAnsi="Arial" w:cs="Arial"/>
          <w:lang w:eastAsia="en-AU"/>
        </w:rPr>
      </w:pPr>
      <w:r w:rsidRPr="00307385">
        <w:rPr>
          <w:rFonts w:ascii="Arial" w:hAnsi="Arial" w:cs="Arial"/>
          <w:b/>
        </w:rPr>
        <w:t>The Medicines Co</w:t>
      </w:r>
      <w:r w:rsidRPr="00307385">
        <w:rPr>
          <w:rFonts w:ascii="Arial" w:hAnsi="Arial" w:cs="Arial"/>
        </w:rPr>
        <w:t xml:space="preserve">. plans to buy </w:t>
      </w:r>
      <w:proofErr w:type="spellStart"/>
      <w:r w:rsidRPr="00307385">
        <w:rPr>
          <w:rFonts w:ascii="Arial" w:hAnsi="Arial" w:cs="Arial"/>
          <w:b/>
        </w:rPr>
        <w:t>ProFibrix</w:t>
      </w:r>
      <w:proofErr w:type="spellEnd"/>
      <w:r w:rsidRPr="00307385">
        <w:rPr>
          <w:rFonts w:ascii="Arial" w:hAnsi="Arial" w:cs="Arial"/>
          <w:b/>
        </w:rPr>
        <w:t xml:space="preserve"> </w:t>
      </w:r>
      <w:r w:rsidRPr="00307385">
        <w:rPr>
          <w:rFonts w:ascii="Arial" w:hAnsi="Arial" w:cs="Arial"/>
        </w:rPr>
        <w:t xml:space="preserve">subject to late-stage study results for a topical powder that the company is developing to stop bleeding during or after surgery. Netherlands company </w:t>
      </w:r>
      <w:proofErr w:type="spellStart"/>
      <w:proofErr w:type="gramStart"/>
      <w:r w:rsidRPr="00307385">
        <w:rPr>
          <w:rFonts w:ascii="Arial" w:hAnsi="Arial" w:cs="Arial"/>
        </w:rPr>
        <w:t>ProFibrix</w:t>
      </w:r>
      <w:proofErr w:type="spellEnd"/>
      <w:r w:rsidRPr="00307385">
        <w:rPr>
          <w:rFonts w:ascii="Arial" w:hAnsi="Arial" w:cs="Arial"/>
        </w:rPr>
        <w:t xml:space="preserve">  is</w:t>
      </w:r>
      <w:proofErr w:type="gramEnd"/>
      <w:r w:rsidRPr="00307385">
        <w:rPr>
          <w:rFonts w:ascii="Arial" w:hAnsi="Arial" w:cs="Arial"/>
        </w:rPr>
        <w:t xml:space="preserve"> developing </w:t>
      </w:r>
      <w:proofErr w:type="spellStart"/>
      <w:r w:rsidRPr="00307385">
        <w:rPr>
          <w:rFonts w:ascii="Arial" w:hAnsi="Arial" w:cs="Arial"/>
        </w:rPr>
        <w:t>Fibrocaps</w:t>
      </w:r>
      <w:proofErr w:type="spellEnd"/>
      <w:r w:rsidRPr="00307385">
        <w:rPr>
          <w:rFonts w:ascii="Arial" w:hAnsi="Arial" w:cs="Arial"/>
        </w:rPr>
        <w:t xml:space="preserve">, which mixes the blood clotting proteins fibrinogen and thrombin to form the powder.  The Medicines Co. makes the anti-clotting drug </w:t>
      </w:r>
      <w:proofErr w:type="spellStart"/>
      <w:r w:rsidRPr="00307385">
        <w:rPr>
          <w:rFonts w:ascii="Arial" w:hAnsi="Arial" w:cs="Arial"/>
        </w:rPr>
        <w:t>Angiomax</w:t>
      </w:r>
      <w:proofErr w:type="spellEnd"/>
      <w:r w:rsidRPr="00307385">
        <w:rPr>
          <w:rFonts w:ascii="Arial" w:hAnsi="Arial" w:cs="Arial"/>
        </w:rPr>
        <w:t>, among othe</w:t>
      </w:r>
      <w:r w:rsidR="00EE0F67" w:rsidRPr="00307385">
        <w:rPr>
          <w:rFonts w:ascii="Arial" w:hAnsi="Arial" w:cs="Arial"/>
        </w:rPr>
        <w:t>r products. It has discontinued</w:t>
      </w:r>
      <w:r w:rsidRPr="00307385">
        <w:rPr>
          <w:rFonts w:ascii="Arial" w:hAnsi="Arial" w:cs="Arial"/>
        </w:rPr>
        <w:t xml:space="preserve"> development of MDCO-2010, a </w:t>
      </w:r>
      <w:proofErr w:type="gramStart"/>
      <w:r w:rsidRPr="00307385">
        <w:rPr>
          <w:rFonts w:ascii="Arial" w:hAnsi="Arial" w:cs="Arial"/>
        </w:rPr>
        <w:t>drug  designed</w:t>
      </w:r>
      <w:proofErr w:type="gramEnd"/>
      <w:r w:rsidRPr="00307385">
        <w:rPr>
          <w:rFonts w:ascii="Arial" w:hAnsi="Arial" w:cs="Arial"/>
        </w:rPr>
        <w:t xml:space="preserve"> to reduce bleeding during surgery, because of safety concerns.</w:t>
      </w:r>
    </w:p>
    <w:p w:rsidR="00D54169" w:rsidRDefault="00D54169" w:rsidP="009C7F66">
      <w:pPr>
        <w:pStyle w:val="Heading1"/>
        <w:numPr>
          <w:ilvl w:val="0"/>
          <w:numId w:val="2"/>
        </w:numPr>
        <w:spacing w:before="0"/>
        <w:ind w:left="360"/>
        <w:rPr>
          <w:color w:val="FF0000"/>
        </w:rPr>
      </w:pPr>
      <w:bookmarkStart w:id="12" w:name="_Toc362333793"/>
      <w:r w:rsidRPr="00D54169">
        <w:rPr>
          <w:color w:val="FF0000"/>
        </w:rPr>
        <w:t>Country- specific events</w:t>
      </w:r>
      <w:bookmarkEnd w:id="12"/>
    </w:p>
    <w:p w:rsidR="001C2106" w:rsidRDefault="001C2106" w:rsidP="009C7F66">
      <w:pPr>
        <w:spacing w:after="0" w:line="240" w:lineRule="auto"/>
        <w:rPr>
          <w:rFonts w:ascii="Arial" w:hAnsi="Arial" w:cs="Arial"/>
          <w:i/>
        </w:rPr>
      </w:pPr>
      <w:r w:rsidRPr="001C2106">
        <w:rPr>
          <w:rFonts w:ascii="Arial" w:hAnsi="Arial" w:cs="Arial"/>
          <w:i/>
        </w:rPr>
        <w:t>The NBA is interested in relevant safety issues which arise in particular countries, and also instances of good practice.  We monitor health issues in countries from which Australia’</w:t>
      </w:r>
      <w:r w:rsidRPr="001C2106">
        <w:rPr>
          <w:rFonts w:ascii="Arial" w:hAnsi="Arial" w:cs="Arial"/>
        </w:rPr>
        <w:t>s</w:t>
      </w:r>
      <w:r w:rsidRPr="001C2106">
        <w:rPr>
          <w:rFonts w:ascii="Arial" w:hAnsi="Arial" w:cs="Arial"/>
          <w:i/>
        </w:rPr>
        <w:t xml:space="preserve"> visitors and immigrants come.</w:t>
      </w:r>
    </w:p>
    <w:p w:rsidR="00C8156E" w:rsidRDefault="00C8156E" w:rsidP="009C7F66">
      <w:pPr>
        <w:spacing w:after="0" w:line="240" w:lineRule="auto"/>
        <w:rPr>
          <w:rFonts w:ascii="Arial" w:hAnsi="Arial" w:cs="Arial"/>
          <w:i/>
        </w:rPr>
      </w:pPr>
    </w:p>
    <w:p w:rsidR="00CA5875" w:rsidRPr="00307385" w:rsidRDefault="00E87B8C" w:rsidP="00CA5875">
      <w:pPr>
        <w:pStyle w:val="ListParagraph"/>
        <w:numPr>
          <w:ilvl w:val="1"/>
          <w:numId w:val="24"/>
        </w:numPr>
        <w:spacing w:after="0" w:line="240" w:lineRule="auto"/>
        <w:rPr>
          <w:rFonts w:ascii="Arial" w:hAnsi="Arial" w:cs="Arial"/>
        </w:rPr>
      </w:pPr>
      <w:r w:rsidRPr="00307385">
        <w:rPr>
          <w:rFonts w:ascii="Arial" w:hAnsi="Arial" w:cs="Arial"/>
        </w:rPr>
        <w:t xml:space="preserve">In the US, the Agency for Healthcare Research and Quality (AHRQ) has sought public comment on its current plan for a consumer reporting system for patient safety events. AHRQ wants to reduce the number of adverse events not reported, by encouraging </w:t>
      </w:r>
      <w:r w:rsidR="00CA5875" w:rsidRPr="00307385">
        <w:rPr>
          <w:rFonts w:ascii="Arial" w:hAnsi="Arial" w:cs="Arial"/>
        </w:rPr>
        <w:t xml:space="preserve">patients and families to report. </w:t>
      </w:r>
    </w:p>
    <w:p w:rsidR="00EE0F67" w:rsidRPr="00EE0F67" w:rsidRDefault="00D45EF6" w:rsidP="00EE0F67">
      <w:pPr>
        <w:pStyle w:val="ListParagraph"/>
        <w:numPr>
          <w:ilvl w:val="1"/>
          <w:numId w:val="24"/>
        </w:numPr>
        <w:spacing w:after="0" w:line="240" w:lineRule="auto"/>
        <w:rPr>
          <w:rFonts w:ascii="Arial" w:hAnsi="Arial" w:cs="Arial"/>
          <w:color w:val="7030A0"/>
        </w:rPr>
      </w:pPr>
      <w:r>
        <w:rPr>
          <w:rFonts w:ascii="Arial" w:hAnsi="Arial" w:cs="Arial"/>
        </w:rPr>
        <w:t>A</w:t>
      </w:r>
      <w:r w:rsidR="005F6F08">
        <w:rPr>
          <w:rFonts w:ascii="Arial" w:hAnsi="Arial" w:cs="Arial"/>
        </w:rPr>
        <w:t xml:space="preserve"> new study </w:t>
      </w:r>
      <w:r w:rsidR="004C4710">
        <w:rPr>
          <w:rFonts w:ascii="Arial" w:hAnsi="Arial" w:cs="Arial"/>
        </w:rPr>
        <w:t xml:space="preserve">in the US </w:t>
      </w:r>
      <w:r w:rsidR="005F6F08">
        <w:rPr>
          <w:rFonts w:ascii="Arial" w:hAnsi="Arial" w:cs="Arial"/>
        </w:rPr>
        <w:t>suggests that a decrease in the number of black children suffering from ischemic strokes is the result of an increase in the use of blood transfusions for patients with sickle cell disease.</w:t>
      </w:r>
    </w:p>
    <w:p w:rsidR="004F6D86" w:rsidRPr="00307385" w:rsidRDefault="004F6D86" w:rsidP="00A42E2A">
      <w:pPr>
        <w:pStyle w:val="ListParagraph"/>
        <w:numPr>
          <w:ilvl w:val="1"/>
          <w:numId w:val="24"/>
        </w:numPr>
        <w:spacing w:after="0" w:line="240" w:lineRule="auto"/>
        <w:rPr>
          <w:rFonts w:ascii="Arial" w:hAnsi="Arial" w:cs="Arial"/>
        </w:rPr>
      </w:pPr>
      <w:r w:rsidRPr="00307385">
        <w:rPr>
          <w:rFonts w:ascii="Arial" w:eastAsia="Times New Roman" w:hAnsi="Arial" w:cs="Arial"/>
          <w:lang w:eastAsia="en-AU"/>
        </w:rPr>
        <w:t xml:space="preserve">France was this year’s host for World Blood Donor Day (June 14); Sri Lanka will be host next year. The World Health Organisation (WHO) says they are two of 60 countries collecting 100 per cent of their whole blood supply from voluntary unpaid donors. WHO says that in low-income countries, a large proportion of blood transfusions are to treat severe anaemia in children under five, and to manage maternal and neonatal </w:t>
      </w:r>
      <w:proofErr w:type="gramStart"/>
      <w:r w:rsidRPr="00307385">
        <w:rPr>
          <w:rFonts w:ascii="Arial" w:eastAsia="Times New Roman" w:hAnsi="Arial" w:cs="Arial"/>
          <w:lang w:eastAsia="en-AU"/>
        </w:rPr>
        <w:t>health.</w:t>
      </w:r>
      <w:proofErr w:type="gramEnd"/>
      <w:r w:rsidRPr="00307385">
        <w:rPr>
          <w:rFonts w:ascii="Arial" w:eastAsia="Times New Roman" w:hAnsi="Arial" w:cs="Arial"/>
          <w:lang w:eastAsia="en-AU"/>
        </w:rPr>
        <w:t xml:space="preserve"> In high-income countries transfusions have their main uses in cardiovascular and transplant surgery, major trauma and cancer treatment.</w:t>
      </w:r>
    </w:p>
    <w:p w:rsidR="009A00FA" w:rsidRPr="00307385" w:rsidRDefault="00F53CE4" w:rsidP="009A00FA">
      <w:pPr>
        <w:pStyle w:val="ListParagraph"/>
        <w:numPr>
          <w:ilvl w:val="1"/>
          <w:numId w:val="24"/>
        </w:numPr>
        <w:spacing w:after="0" w:line="240" w:lineRule="auto"/>
        <w:rPr>
          <w:rFonts w:ascii="Arial" w:hAnsi="Arial" w:cs="Arial"/>
        </w:rPr>
      </w:pPr>
      <w:r w:rsidRPr="00307385">
        <w:rPr>
          <w:rFonts w:ascii="Arial" w:eastAsia="Times New Roman" w:hAnsi="Arial" w:cs="Arial"/>
        </w:rPr>
        <w:t>The Kingdom of Saudi Arabia is</w:t>
      </w:r>
      <w:r w:rsidR="000C7C8D" w:rsidRPr="00307385">
        <w:rPr>
          <w:rFonts w:ascii="Arial" w:eastAsia="Times New Roman" w:hAnsi="Arial" w:cs="Arial"/>
        </w:rPr>
        <w:t xml:space="preserve"> establishing a manufacturing facility for plasma products. </w:t>
      </w:r>
    </w:p>
    <w:p w:rsidR="00972EFA" w:rsidRPr="00307385" w:rsidRDefault="009A00FA" w:rsidP="00972EFA">
      <w:pPr>
        <w:pStyle w:val="ListParagraph"/>
        <w:numPr>
          <w:ilvl w:val="1"/>
          <w:numId w:val="24"/>
        </w:numPr>
        <w:spacing w:after="0" w:line="240" w:lineRule="auto"/>
        <w:rPr>
          <w:rFonts w:ascii="Arial" w:hAnsi="Arial" w:cs="Arial"/>
        </w:rPr>
      </w:pPr>
      <w:r w:rsidRPr="00307385">
        <w:rPr>
          <w:rFonts w:ascii="Arial" w:hAnsi="Arial" w:cs="Arial"/>
        </w:rPr>
        <w:lastRenderedPageBreak/>
        <w:t>The Board of the Irish Blood Transfusion Service  was advised its business continuity plan needed amendment to reflect need to import blood in the wake of a major disaster, including an act of international terrorism.  European tra</w:t>
      </w:r>
      <w:r w:rsidR="00E37632" w:rsidRPr="00307385">
        <w:rPr>
          <w:rFonts w:ascii="Arial" w:hAnsi="Arial" w:cs="Arial"/>
        </w:rPr>
        <w:t>nsfusion services are extending</w:t>
      </w:r>
      <w:r w:rsidRPr="00307385">
        <w:rPr>
          <w:rFonts w:ascii="Arial" w:hAnsi="Arial" w:cs="Arial"/>
        </w:rPr>
        <w:t xml:space="preserve"> co-operat</w:t>
      </w:r>
      <w:r w:rsidR="00E37632" w:rsidRPr="00307385">
        <w:rPr>
          <w:rFonts w:ascii="Arial" w:hAnsi="Arial" w:cs="Arial"/>
        </w:rPr>
        <w:t>ion,</w:t>
      </w:r>
      <w:r w:rsidRPr="00307385">
        <w:rPr>
          <w:rFonts w:ascii="Arial" w:hAnsi="Arial" w:cs="Arial"/>
        </w:rPr>
        <w:t xml:space="preserve"> facilitated by the introduction of common European standards of quality and safety for the collection, testing and processing of blood components.</w:t>
      </w:r>
    </w:p>
    <w:p w:rsidR="005B3DC1" w:rsidRPr="00307385" w:rsidRDefault="00972EFA" w:rsidP="005B3DC1">
      <w:pPr>
        <w:pStyle w:val="ListParagraph"/>
        <w:numPr>
          <w:ilvl w:val="1"/>
          <w:numId w:val="24"/>
        </w:numPr>
        <w:spacing w:after="0" w:line="240" w:lineRule="auto"/>
        <w:rPr>
          <w:rFonts w:ascii="Arial" w:hAnsi="Arial" w:cs="Arial"/>
        </w:rPr>
      </w:pPr>
      <w:r w:rsidRPr="00307385">
        <w:rPr>
          <w:rFonts w:ascii="Arial" w:hAnsi="Arial" w:cs="Arial"/>
          <w:lang w:eastAsia="en-AU"/>
        </w:rPr>
        <w:t xml:space="preserve">In Sri Lanka, the amended National Blood Transfusion Act will be presented in Parliament soon. Once the Act is passed, private hospitals can charge patients a nominal amount for blood but they have to bill for it specifically, and patients will have the right to query the amount. Currently the Health Ministry cannot intervene when private hospitals overcharge charge patients for blood.  The Health Ministry charges private hospitals only </w:t>
      </w:r>
      <w:proofErr w:type="spellStart"/>
      <w:r w:rsidRPr="00307385">
        <w:rPr>
          <w:rFonts w:ascii="Arial" w:hAnsi="Arial" w:cs="Arial"/>
          <w:lang w:eastAsia="en-AU"/>
        </w:rPr>
        <w:t>Rs</w:t>
      </w:r>
      <w:proofErr w:type="spellEnd"/>
      <w:r w:rsidRPr="00307385">
        <w:rPr>
          <w:rFonts w:ascii="Arial" w:hAnsi="Arial" w:cs="Arial"/>
          <w:lang w:eastAsia="en-AU"/>
        </w:rPr>
        <w:t xml:space="preserve">. 1,200 for each blood transfusion kit cost although the cost to the ministry is </w:t>
      </w:r>
      <w:proofErr w:type="spellStart"/>
      <w:r w:rsidRPr="00307385">
        <w:rPr>
          <w:rFonts w:ascii="Arial" w:hAnsi="Arial" w:cs="Arial"/>
          <w:lang w:eastAsia="en-AU"/>
        </w:rPr>
        <w:t>Rs</w:t>
      </w:r>
      <w:proofErr w:type="spellEnd"/>
      <w:r w:rsidRPr="00307385">
        <w:rPr>
          <w:rFonts w:ascii="Arial" w:hAnsi="Arial" w:cs="Arial"/>
          <w:lang w:eastAsia="en-AU"/>
        </w:rPr>
        <w:t xml:space="preserve">. 1,500. </w:t>
      </w:r>
    </w:p>
    <w:p w:rsidR="00837332" w:rsidRPr="00307385" w:rsidRDefault="005B3DC1" w:rsidP="00837332">
      <w:pPr>
        <w:pStyle w:val="ListParagraph"/>
        <w:numPr>
          <w:ilvl w:val="1"/>
          <w:numId w:val="24"/>
        </w:numPr>
        <w:spacing w:after="0" w:line="240" w:lineRule="auto"/>
        <w:rPr>
          <w:rFonts w:ascii="Arial" w:hAnsi="Arial" w:cs="Arial"/>
        </w:rPr>
      </w:pPr>
      <w:r w:rsidRPr="00307385">
        <w:rPr>
          <w:rFonts w:ascii="Arial" w:hAnsi="Arial" w:cs="Arial"/>
        </w:rPr>
        <w:t>Oman targeted 95 per cent  voluntary unpaid blood supply by 2015 in response to the WHO</w:t>
      </w:r>
      <w:r w:rsidR="00FB4A6F" w:rsidRPr="00307385">
        <w:rPr>
          <w:rFonts w:ascii="Arial" w:hAnsi="Arial" w:cs="Arial"/>
        </w:rPr>
        <w:t xml:space="preserve"> call </w:t>
      </w:r>
      <w:r w:rsidRPr="00307385">
        <w:rPr>
          <w:rFonts w:ascii="Arial" w:hAnsi="Arial" w:cs="Arial"/>
        </w:rPr>
        <w:t>on World Blood Donor Day for 100 per cent tor all countries.</w:t>
      </w:r>
    </w:p>
    <w:p w:rsidR="00DE2146" w:rsidRPr="004C4710" w:rsidRDefault="00837332" w:rsidP="009C7F66">
      <w:pPr>
        <w:pStyle w:val="ListParagraph"/>
        <w:numPr>
          <w:ilvl w:val="1"/>
          <w:numId w:val="24"/>
        </w:numPr>
        <w:spacing w:after="0" w:line="240" w:lineRule="auto"/>
        <w:rPr>
          <w:rFonts w:ascii="Arial" w:hAnsi="Arial" w:cs="Arial"/>
          <w:color w:val="7030A0"/>
        </w:rPr>
      </w:pPr>
      <w:r w:rsidRPr="00837332">
        <w:rPr>
          <w:rFonts w:ascii="Arial" w:hAnsi="Arial" w:cs="Arial"/>
        </w:rPr>
        <w:t xml:space="preserve">In the UK, the government has published a set of proposals to end </w:t>
      </w:r>
      <w:r w:rsidR="00FB4A6F">
        <w:rPr>
          <w:rFonts w:ascii="Arial" w:hAnsi="Arial" w:cs="Arial"/>
        </w:rPr>
        <w:t>“</w:t>
      </w:r>
      <w:r w:rsidRPr="00837332">
        <w:rPr>
          <w:rFonts w:ascii="Arial" w:hAnsi="Arial" w:cs="Arial"/>
        </w:rPr>
        <w:t>health tourism" and collect charges owed from foreign use of the National Health Service.</w:t>
      </w:r>
    </w:p>
    <w:p w:rsidR="004C4710" w:rsidRPr="009C7F66" w:rsidRDefault="004C4710" w:rsidP="004C4710">
      <w:pPr>
        <w:pStyle w:val="ListParagraph"/>
        <w:spacing w:after="0" w:line="240" w:lineRule="auto"/>
        <w:ind w:left="644"/>
        <w:rPr>
          <w:rFonts w:ascii="Arial" w:hAnsi="Arial" w:cs="Arial"/>
          <w:color w:val="7030A0"/>
        </w:rPr>
      </w:pPr>
    </w:p>
    <w:p w:rsidR="00D54169" w:rsidRDefault="00D54169" w:rsidP="00202819">
      <w:pPr>
        <w:pStyle w:val="Heading1"/>
        <w:numPr>
          <w:ilvl w:val="0"/>
          <w:numId w:val="2"/>
        </w:numPr>
        <w:spacing w:before="0"/>
        <w:ind w:left="360"/>
        <w:rPr>
          <w:color w:val="FF0000"/>
        </w:rPr>
      </w:pPr>
      <w:bookmarkStart w:id="13" w:name="_Toc362333794"/>
      <w:r>
        <w:rPr>
          <w:color w:val="FF0000"/>
        </w:rPr>
        <w:t>Safety and patient blood m</w:t>
      </w:r>
      <w:r w:rsidRPr="00D54169">
        <w:rPr>
          <w:color w:val="FF0000"/>
        </w:rPr>
        <w:t>anagement</w:t>
      </w:r>
      <w:bookmarkEnd w:id="13"/>
    </w:p>
    <w:p w:rsidR="004C4710" w:rsidRDefault="001C2106" w:rsidP="000236D0">
      <w:pPr>
        <w:spacing w:after="0" w:line="240" w:lineRule="auto"/>
        <w:rPr>
          <w:rFonts w:ascii="Arial" w:hAnsi="Arial" w:cs="Arial"/>
          <w:i/>
        </w:rPr>
      </w:pPr>
      <w:r w:rsidRPr="001C2106">
        <w:rPr>
          <w:rFonts w:ascii="Arial" w:hAnsi="Arial" w:cs="Arial"/>
          <w:i/>
        </w:rPr>
        <w:t>We follow current issues in patient safety</w:t>
      </w:r>
      <w:r w:rsidR="00FB4A6F">
        <w:rPr>
          <w:rFonts w:ascii="Arial" w:hAnsi="Arial" w:cs="Arial"/>
          <w:i/>
        </w:rPr>
        <w:t xml:space="preserve"> and achieving favourable patient outcomes</w:t>
      </w:r>
      <w:r w:rsidRPr="001C2106">
        <w:rPr>
          <w:rFonts w:ascii="Arial" w:hAnsi="Arial" w:cs="Arial"/>
          <w:i/>
        </w:rPr>
        <w:t>.</w:t>
      </w:r>
    </w:p>
    <w:p w:rsidR="000236D0" w:rsidRDefault="000236D0" w:rsidP="000236D0">
      <w:pPr>
        <w:spacing w:after="0" w:line="240" w:lineRule="auto"/>
        <w:rPr>
          <w:rFonts w:ascii="Arial" w:hAnsi="Arial" w:cs="Arial"/>
          <w:i/>
        </w:rPr>
      </w:pPr>
    </w:p>
    <w:p w:rsidR="004C4710" w:rsidRDefault="004C4710" w:rsidP="000236D0">
      <w:pPr>
        <w:pStyle w:val="Heading3"/>
        <w:spacing w:before="0" w:line="240" w:lineRule="auto"/>
      </w:pPr>
      <w:bookmarkStart w:id="14" w:name="_Toc362333795"/>
      <w:r>
        <w:t>Appropriate transfusion</w:t>
      </w:r>
      <w:bookmarkEnd w:id="14"/>
    </w:p>
    <w:p w:rsidR="004C4710" w:rsidRPr="00EE0F67" w:rsidRDefault="004C4710" w:rsidP="004C4710">
      <w:pPr>
        <w:pStyle w:val="ListParagraph"/>
        <w:numPr>
          <w:ilvl w:val="1"/>
          <w:numId w:val="36"/>
        </w:numPr>
        <w:spacing w:after="0" w:line="240" w:lineRule="auto"/>
        <w:rPr>
          <w:rFonts w:ascii="Arial" w:hAnsi="Arial" w:cs="Arial"/>
          <w:color w:val="7030A0"/>
        </w:rPr>
      </w:pPr>
      <w:r w:rsidRPr="00EE0F67">
        <w:rPr>
          <w:rFonts w:ascii="Arial" w:hAnsi="Arial" w:cs="Arial"/>
        </w:rPr>
        <w:t xml:space="preserve">A number of Canadian newspapers have carried two articles on appropriate and accurate transfusion. The first, </w:t>
      </w:r>
      <w:r w:rsidRPr="00EE0F67">
        <w:rPr>
          <w:rFonts w:ascii="Arial" w:hAnsi="Arial" w:cs="Arial"/>
          <w:i/>
          <w:iCs/>
        </w:rPr>
        <w:t>Researchers fear the "gift of life" may sometimes endanger it,</w:t>
      </w:r>
      <w:r w:rsidRPr="00EE0F67">
        <w:rPr>
          <w:rFonts w:ascii="Arial" w:hAnsi="Arial" w:cs="Arial"/>
        </w:rPr>
        <w:t xml:space="preserve"> reviews the evidence around variability in transfusion practice in patients with the same risk profile; the fact that patients not transfused may have better outcomes; and the causes of transfusion-related death. The article acknowledges increasing concern over unnecessary transfusions, and outlines strategies hospitals are adopting to reduce blood use</w:t>
      </w:r>
      <w:r>
        <w:rPr>
          <w:rStyle w:val="FootnoteReference"/>
          <w:rFonts w:ascii="Arial" w:hAnsi="Arial" w:cs="Arial"/>
        </w:rPr>
        <w:footnoteReference w:id="13"/>
      </w:r>
      <w:r w:rsidRPr="00EE0F67">
        <w:rPr>
          <w:rFonts w:ascii="Arial" w:hAnsi="Arial" w:cs="Arial"/>
        </w:rPr>
        <w:t xml:space="preserve">. </w:t>
      </w:r>
    </w:p>
    <w:p w:rsidR="004C4710" w:rsidRPr="004C4710" w:rsidRDefault="004C4710" w:rsidP="004C4710">
      <w:pPr>
        <w:pStyle w:val="ListParagraph"/>
        <w:numPr>
          <w:ilvl w:val="1"/>
          <w:numId w:val="36"/>
        </w:numPr>
        <w:spacing w:after="0" w:line="240" w:lineRule="auto"/>
      </w:pPr>
      <w:r w:rsidRPr="00FB4A6F">
        <w:rPr>
          <w:rFonts w:ascii="Arial" w:hAnsi="Arial" w:cs="Arial"/>
        </w:rPr>
        <w:t xml:space="preserve">The second article, </w:t>
      </w:r>
      <w:r w:rsidRPr="00FB4A6F">
        <w:rPr>
          <w:rFonts w:ascii="Arial" w:hAnsi="Arial" w:cs="Arial"/>
          <w:i/>
          <w:iCs/>
        </w:rPr>
        <w:t>Health experts confront the hidden hazards of blood transfusions</w:t>
      </w:r>
      <w:r w:rsidRPr="00FB4A6F">
        <w:rPr>
          <w:rFonts w:ascii="Arial" w:hAnsi="Arial" w:cs="Arial"/>
        </w:rPr>
        <w:t>, highlights the research on transfusion errors conducted at Toronto's Sunnybrook Health Scie</w:t>
      </w:r>
      <w:r w:rsidR="00307385">
        <w:rPr>
          <w:rFonts w:ascii="Arial" w:hAnsi="Arial" w:cs="Arial"/>
        </w:rPr>
        <w:t>nces Centre over six years. 15,1</w:t>
      </w:r>
      <w:r w:rsidRPr="00FB4A6F">
        <w:rPr>
          <w:rFonts w:ascii="Arial" w:hAnsi="Arial" w:cs="Arial"/>
        </w:rPr>
        <w:t xml:space="preserve">34 errors were reported. Of the 23 which harmed patients, most involved unnecessary transfusions.  Dr Jeannie </w:t>
      </w:r>
      <w:proofErr w:type="spellStart"/>
      <w:r w:rsidRPr="00FB4A6F">
        <w:rPr>
          <w:rFonts w:ascii="Arial" w:hAnsi="Arial" w:cs="Arial"/>
        </w:rPr>
        <w:t>Callum</w:t>
      </w:r>
      <w:proofErr w:type="spellEnd"/>
      <w:r w:rsidRPr="00FB4A6F">
        <w:rPr>
          <w:rFonts w:ascii="Arial" w:hAnsi="Arial" w:cs="Arial"/>
        </w:rPr>
        <w:t>, director of transfusion medicine at Sunnybrook, said “One of the leading causes of major morbidity from a blood transfusion is just getting blood that wasn’t intended for you”. At Sunnybrook, surgical patients wear barcoded wristbands. Handheld devices scan these and print labels at the bedside when blood is drawn for matching. Before blood is transfused, the bag and patient wristband are read, and an alarm goes off if there is no match</w:t>
      </w:r>
      <w:r>
        <w:rPr>
          <w:rStyle w:val="FootnoteReference"/>
          <w:rFonts w:ascii="Arial" w:hAnsi="Arial" w:cs="Arial"/>
        </w:rPr>
        <w:footnoteReference w:id="14"/>
      </w:r>
      <w:r w:rsidRPr="00FB4A6F">
        <w:rPr>
          <w:rFonts w:ascii="Arial" w:hAnsi="Arial" w:cs="Arial"/>
        </w:rPr>
        <w:t>.</w:t>
      </w:r>
    </w:p>
    <w:p w:rsidR="004C4710" w:rsidRPr="004C4710" w:rsidRDefault="004C4710" w:rsidP="009C7F66">
      <w:pPr>
        <w:pStyle w:val="ListParagraph"/>
        <w:numPr>
          <w:ilvl w:val="1"/>
          <w:numId w:val="36"/>
        </w:numPr>
        <w:spacing w:after="0" w:line="240" w:lineRule="auto"/>
        <w:rPr>
          <w:rFonts w:ascii="Arial" w:hAnsi="Arial" w:cs="Arial"/>
          <w:i/>
        </w:rPr>
      </w:pPr>
      <w:r w:rsidRPr="00307385">
        <w:rPr>
          <w:rFonts w:ascii="Arial" w:hAnsi="Arial" w:cs="Arial"/>
        </w:rPr>
        <w:t>In the US a downward trend in blood usage began in 2009, with increasing evidence of the dangers of unnecessary blood transfusions. Transfusions of blood components provided by the American Red Cross, responsible for about half the nation's supply, fell by 3 per cent in 2009, 2010 and 2011 and by 5 per cent in 2012. There is diversity of experience across the country</w:t>
      </w:r>
      <w:r w:rsidRPr="00307385">
        <w:rPr>
          <w:rStyle w:val="FootnoteReference"/>
          <w:rFonts w:ascii="Arial" w:hAnsi="Arial" w:cs="Arial"/>
        </w:rPr>
        <w:footnoteReference w:id="15"/>
      </w:r>
      <w:r w:rsidRPr="00307385">
        <w:rPr>
          <w:rFonts w:ascii="Arial" w:hAnsi="Arial" w:cs="Arial"/>
        </w:rPr>
        <w:t xml:space="preserve">.  There is also variability </w:t>
      </w:r>
      <w:r w:rsidRPr="004C4710">
        <w:rPr>
          <w:rFonts w:ascii="Arial" w:hAnsi="Arial" w:cs="Arial"/>
        </w:rPr>
        <w:t xml:space="preserve">in transfusion outcomes for patients in particular settings.  In one comment the authors write “This variability could be the result of insufficient understanding of published guidelines; different recommendations of medical societies, including the specification of a haemoglobin concentration threshold to use as a transfusion trigger; the value of haemoglobin as a surrogate indicator for transfusion benefit, even though only changes in concentration </w:t>
      </w:r>
      <w:r w:rsidRPr="004C4710">
        <w:rPr>
          <w:rFonts w:ascii="Arial" w:hAnsi="Arial" w:cs="Arial"/>
        </w:rPr>
        <w:lastRenderedPageBreak/>
        <w:t>and not absolute red cell mass of haemoglobin can be identified; and disagreement about the validity of the level 1 evidence for clinical practice guidelines”</w:t>
      </w:r>
      <w:r w:rsidRPr="00EE0F67">
        <w:rPr>
          <w:rStyle w:val="FootnoteReference"/>
          <w:rFonts w:ascii="Arial" w:hAnsi="Arial" w:cs="Arial"/>
        </w:rPr>
        <w:footnoteReference w:id="16"/>
      </w:r>
    </w:p>
    <w:p w:rsidR="00C3307A" w:rsidRPr="00307385" w:rsidRDefault="0022403C" w:rsidP="000236D0">
      <w:pPr>
        <w:pStyle w:val="ListParagraph"/>
        <w:numPr>
          <w:ilvl w:val="1"/>
          <w:numId w:val="12"/>
        </w:numPr>
        <w:spacing w:after="0" w:line="240" w:lineRule="auto"/>
        <w:rPr>
          <w:rFonts w:ascii="Arial" w:hAnsi="Arial" w:cs="Arial"/>
        </w:rPr>
      </w:pPr>
      <w:r w:rsidRPr="00307385">
        <w:rPr>
          <w:rStyle w:val="Strong"/>
          <w:rFonts w:ascii="Arial" w:hAnsi="Arial" w:cs="Arial"/>
          <w:b w:val="0"/>
        </w:rPr>
        <w:t xml:space="preserve">Researchers from the Mayo Clinic </w:t>
      </w:r>
      <w:r w:rsidR="00E67CF5" w:rsidRPr="00307385">
        <w:rPr>
          <w:rStyle w:val="Strong"/>
          <w:rFonts w:ascii="Arial" w:hAnsi="Arial" w:cs="Arial"/>
          <w:b w:val="0"/>
        </w:rPr>
        <w:t>College of Medicine, Rochester,</w:t>
      </w:r>
      <w:r w:rsidRPr="00307385">
        <w:rPr>
          <w:rFonts w:ascii="Arial" w:hAnsi="Arial" w:cs="Arial"/>
        </w:rPr>
        <w:t xml:space="preserve"> in reporting on a recent study, wrote that “Patients with chronic kidney disease undergoing major </w:t>
      </w:r>
      <w:proofErr w:type="spellStart"/>
      <w:r w:rsidRPr="00307385">
        <w:rPr>
          <w:rFonts w:ascii="Arial" w:hAnsi="Arial" w:cs="Arial"/>
        </w:rPr>
        <w:t>orthopedic</w:t>
      </w:r>
      <w:proofErr w:type="spellEnd"/>
      <w:r w:rsidRPr="00307385">
        <w:rPr>
          <w:rFonts w:ascii="Arial" w:hAnsi="Arial" w:cs="Arial"/>
        </w:rPr>
        <w:t xml:space="preserve"> surgery are at greater risk of requiring perioperative blood transfusions”. …..This risk is independent of intraoperative estimated blood loss, preoperative </w:t>
      </w:r>
      <w:proofErr w:type="spellStart"/>
      <w:r w:rsidRPr="00307385">
        <w:rPr>
          <w:rFonts w:ascii="Arial" w:hAnsi="Arial" w:cs="Arial"/>
        </w:rPr>
        <w:t>anemia</w:t>
      </w:r>
      <w:proofErr w:type="spellEnd"/>
      <w:r w:rsidRPr="00307385">
        <w:rPr>
          <w:rFonts w:ascii="Arial" w:hAnsi="Arial" w:cs="Arial"/>
        </w:rPr>
        <w:t xml:space="preserve"> and higher rates of cardiovascular disease</w:t>
      </w:r>
      <w:r w:rsidRPr="00307385">
        <w:rPr>
          <w:rFonts w:ascii="Georgia" w:hAnsi="Georgia"/>
        </w:rPr>
        <w:t>.”</w:t>
      </w:r>
      <w:r w:rsidRPr="00307385">
        <w:rPr>
          <w:rStyle w:val="FootnoteReference"/>
          <w:rFonts w:ascii="Georgia" w:hAnsi="Georgia"/>
        </w:rPr>
        <w:footnoteReference w:id="17"/>
      </w:r>
    </w:p>
    <w:p w:rsidR="00C8156E" w:rsidRPr="000236D0" w:rsidRDefault="00C8156E" w:rsidP="00C8156E">
      <w:pPr>
        <w:pStyle w:val="ListParagraph"/>
        <w:spacing w:after="0" w:line="240" w:lineRule="auto"/>
        <w:rPr>
          <w:rFonts w:ascii="Arial" w:hAnsi="Arial" w:cs="Arial"/>
          <w:color w:val="7030A0"/>
        </w:rPr>
      </w:pPr>
    </w:p>
    <w:p w:rsidR="000236D0" w:rsidRDefault="000236D0" w:rsidP="000236D0">
      <w:pPr>
        <w:pStyle w:val="Heading3"/>
        <w:spacing w:before="0"/>
      </w:pPr>
      <w:bookmarkStart w:id="17" w:name="_Toc362333796"/>
      <w:r>
        <w:t>Treating iron deficiency</w:t>
      </w:r>
      <w:bookmarkEnd w:id="17"/>
    </w:p>
    <w:p w:rsidR="000236D0" w:rsidRPr="00307385" w:rsidRDefault="000236D0" w:rsidP="000236D0">
      <w:pPr>
        <w:pStyle w:val="ListParagraph"/>
        <w:numPr>
          <w:ilvl w:val="1"/>
          <w:numId w:val="12"/>
        </w:numPr>
        <w:spacing w:line="240" w:lineRule="auto"/>
        <w:rPr>
          <w:rFonts w:ascii="Arial" w:hAnsi="Arial" w:cs="Arial"/>
        </w:rPr>
      </w:pPr>
      <w:r w:rsidRPr="00307385">
        <w:rPr>
          <w:rFonts w:ascii="Arial" w:hAnsi="Arial" w:cs="Arial"/>
        </w:rPr>
        <w:t xml:space="preserve">A randomised trial at four high- altitude centres suggested that injections of an erythropoiesis-stimulating agent (ESA), particularly </w:t>
      </w:r>
      <w:proofErr w:type="spellStart"/>
      <w:r w:rsidRPr="00307385">
        <w:rPr>
          <w:rFonts w:ascii="Arial" w:hAnsi="Arial" w:cs="Arial"/>
        </w:rPr>
        <w:t>darbepoetin</w:t>
      </w:r>
      <w:proofErr w:type="spellEnd"/>
      <w:r w:rsidRPr="00307385">
        <w:rPr>
          <w:rFonts w:ascii="Arial" w:hAnsi="Arial" w:cs="Arial"/>
        </w:rPr>
        <w:t xml:space="preserve"> </w:t>
      </w:r>
      <w:proofErr w:type="spellStart"/>
      <w:r w:rsidRPr="00307385">
        <w:rPr>
          <w:rFonts w:ascii="Arial" w:hAnsi="Arial" w:cs="Arial"/>
        </w:rPr>
        <w:t>alfa</w:t>
      </w:r>
      <w:proofErr w:type="spellEnd"/>
      <w:r w:rsidRPr="00307385">
        <w:rPr>
          <w:rFonts w:ascii="Arial" w:hAnsi="Arial" w:cs="Arial"/>
        </w:rPr>
        <w:t>, may reduce the need for red blood cell transfusions in preterm infants</w:t>
      </w:r>
      <w:r w:rsidRPr="00307385">
        <w:rPr>
          <w:rStyle w:val="FootnoteReference"/>
          <w:rFonts w:ascii="Arial" w:hAnsi="Arial" w:cs="Arial"/>
        </w:rPr>
        <w:footnoteReference w:id="18"/>
      </w:r>
      <w:r w:rsidRPr="00307385">
        <w:rPr>
          <w:rFonts w:ascii="Arial" w:hAnsi="Arial" w:cs="Arial"/>
        </w:rPr>
        <w:t xml:space="preserve">. </w:t>
      </w:r>
    </w:p>
    <w:p w:rsidR="000236D0" w:rsidRPr="008A12AF" w:rsidRDefault="000236D0" w:rsidP="000236D0">
      <w:pPr>
        <w:pStyle w:val="ListParagraph"/>
        <w:numPr>
          <w:ilvl w:val="1"/>
          <w:numId w:val="37"/>
        </w:numPr>
        <w:spacing w:line="240" w:lineRule="auto"/>
        <w:rPr>
          <w:rFonts w:ascii="Arial" w:hAnsi="Arial" w:cs="Arial"/>
          <w:color w:val="7030A0"/>
        </w:rPr>
      </w:pPr>
      <w:r>
        <w:rPr>
          <w:rFonts w:ascii="Arial" w:hAnsi="Arial" w:cs="Arial"/>
        </w:rPr>
        <w:t xml:space="preserve">Research from Harvard University suggests that </w:t>
      </w:r>
      <w:proofErr w:type="gramStart"/>
      <w:r>
        <w:rPr>
          <w:rFonts w:ascii="Arial" w:hAnsi="Arial" w:cs="Arial"/>
        </w:rPr>
        <w:t>daily iron supplements in pregnancy reduces</w:t>
      </w:r>
      <w:proofErr w:type="gramEnd"/>
      <w:r>
        <w:rPr>
          <w:rFonts w:ascii="Arial" w:hAnsi="Arial" w:cs="Arial"/>
        </w:rPr>
        <w:t xml:space="preserve"> anaemia risk and chances of a baby with low birth- weight</w:t>
      </w:r>
      <w:r>
        <w:rPr>
          <w:rStyle w:val="FootnoteReference"/>
          <w:rFonts w:ascii="Arial" w:hAnsi="Arial" w:cs="Arial"/>
        </w:rPr>
        <w:footnoteReference w:id="19"/>
      </w:r>
      <w:r>
        <w:rPr>
          <w:rFonts w:ascii="Arial" w:hAnsi="Arial" w:cs="Arial"/>
        </w:rPr>
        <w:t>. Researchers at the University of Melbourne found that expectant mothers who take a bi-weekly dose of iron experience the same benefits as those who take an iron supplement twice a week</w:t>
      </w:r>
      <w:r>
        <w:rPr>
          <w:rStyle w:val="FootnoteReference"/>
          <w:rFonts w:ascii="Arial" w:hAnsi="Arial" w:cs="Arial"/>
        </w:rPr>
        <w:footnoteReference w:id="20"/>
      </w:r>
      <w:r>
        <w:rPr>
          <w:rFonts w:ascii="Arial" w:hAnsi="Arial" w:cs="Arial"/>
        </w:rPr>
        <w:t>.</w:t>
      </w:r>
    </w:p>
    <w:p w:rsidR="000236D0" w:rsidRPr="006175F4" w:rsidRDefault="000236D0" w:rsidP="000236D0">
      <w:pPr>
        <w:pStyle w:val="ListParagraph"/>
        <w:numPr>
          <w:ilvl w:val="1"/>
          <w:numId w:val="37"/>
        </w:numPr>
        <w:spacing w:line="240" w:lineRule="auto"/>
        <w:rPr>
          <w:rFonts w:ascii="Arial" w:hAnsi="Arial" w:cs="Arial"/>
          <w:color w:val="7030A0"/>
        </w:rPr>
      </w:pPr>
      <w:r w:rsidRPr="008A12AF">
        <w:rPr>
          <w:rFonts w:ascii="Arial" w:hAnsi="Arial" w:cs="Arial"/>
        </w:rPr>
        <w:t xml:space="preserve">The Committee for Medicinal Products for Human Use (CHMP) of the European Medicines Agency (EMA) has recommended precautions for treating iron deficiency anaemia with intravenous (IV) iron supplements, because of the danger of allergic reactions.  One recommendation is that clinicians administer IV iron supplements only in facilities equipped for resuscitation if the patient experiences anaphylaxis.  This precaution matches that on the FDA-approved labels of iron dextran injection, iron sucrose injection, and sodium ferric </w:t>
      </w:r>
      <w:proofErr w:type="spellStart"/>
      <w:r w:rsidRPr="008A12AF">
        <w:rPr>
          <w:rFonts w:ascii="Arial" w:hAnsi="Arial" w:cs="Arial"/>
        </w:rPr>
        <w:t>gluconate</w:t>
      </w:r>
      <w:proofErr w:type="spellEnd"/>
      <w:r w:rsidRPr="008A12AF">
        <w:rPr>
          <w:rFonts w:ascii="Arial" w:hAnsi="Arial" w:cs="Arial"/>
        </w:rPr>
        <w:t xml:space="preserve"> complex in sucrose injection.  CHMP recommends that clinicians discontinue giving small test doses as they are not "a reliable way to predict how the patient will respond when the full dose is given".  Every dose should be approached with caution.  However, a black box warning on the FDA-approved label for iron dextran injection calls for a test dose. CHMP also recommends not administering IV iron supplements to pregnant women "unless clearly necessary," and then only in the second or third trimester. The FDA also recommends caution but does not limit IV treatment to the second or third trimester.</w:t>
      </w:r>
    </w:p>
    <w:p w:rsidR="000236D0" w:rsidRDefault="000236D0" w:rsidP="000236D0">
      <w:pPr>
        <w:pStyle w:val="ListParagraph"/>
        <w:numPr>
          <w:ilvl w:val="1"/>
          <w:numId w:val="37"/>
        </w:numPr>
        <w:spacing w:after="0" w:line="240" w:lineRule="auto"/>
        <w:rPr>
          <w:rFonts w:ascii="Arial" w:hAnsi="Arial" w:cs="Arial"/>
        </w:rPr>
      </w:pPr>
      <w:r w:rsidRPr="00A9326E">
        <w:rPr>
          <w:rFonts w:ascii="Arial" w:hAnsi="Arial" w:cs="Arial"/>
        </w:rPr>
        <w:t>A study of data for 117</w:t>
      </w:r>
      <w:r>
        <w:rPr>
          <w:rFonts w:ascii="Arial" w:hAnsi="Arial" w:cs="Arial"/>
        </w:rPr>
        <w:t>,</w:t>
      </w:r>
      <w:r w:rsidRPr="00A9326E">
        <w:rPr>
          <w:rFonts w:ascii="Arial" w:hAnsi="Arial" w:cs="Arial"/>
        </w:rPr>
        <w:t>000</w:t>
      </w:r>
      <w:r>
        <w:rPr>
          <w:rFonts w:ascii="Arial" w:hAnsi="Arial" w:cs="Arial"/>
        </w:rPr>
        <w:t xml:space="preserve"> dialysis patients suggested that large (bolus) doses of IV iron were associated with a higher risk of infection compared with smaller and less frequent maintenance dosing</w:t>
      </w:r>
      <w:r>
        <w:rPr>
          <w:rStyle w:val="FootnoteReference"/>
          <w:rFonts w:ascii="Arial" w:hAnsi="Arial" w:cs="Arial"/>
        </w:rPr>
        <w:footnoteReference w:id="21"/>
      </w:r>
      <w:r>
        <w:rPr>
          <w:rFonts w:ascii="Arial" w:hAnsi="Arial" w:cs="Arial"/>
        </w:rPr>
        <w:t>.</w:t>
      </w:r>
    </w:p>
    <w:p w:rsidR="00C8156E" w:rsidRPr="000236D0" w:rsidRDefault="00C8156E" w:rsidP="00C8156E">
      <w:pPr>
        <w:pStyle w:val="ListParagraph"/>
        <w:spacing w:after="0" w:line="240" w:lineRule="auto"/>
        <w:rPr>
          <w:rFonts w:ascii="Arial" w:hAnsi="Arial" w:cs="Arial"/>
        </w:rPr>
      </w:pPr>
    </w:p>
    <w:p w:rsidR="000236D0" w:rsidRPr="000236D0" w:rsidRDefault="000236D0" w:rsidP="000236D0">
      <w:pPr>
        <w:pStyle w:val="Heading3"/>
        <w:spacing w:before="0"/>
      </w:pPr>
      <w:bookmarkStart w:id="18" w:name="_Toc362333797"/>
      <w:r>
        <w:t>Other</w:t>
      </w:r>
      <w:bookmarkEnd w:id="18"/>
    </w:p>
    <w:p w:rsidR="00DB675F" w:rsidRPr="00307385" w:rsidRDefault="00AF0758" w:rsidP="000236D0">
      <w:pPr>
        <w:pStyle w:val="ListParagraph"/>
        <w:numPr>
          <w:ilvl w:val="1"/>
          <w:numId w:val="37"/>
        </w:numPr>
        <w:spacing w:line="240" w:lineRule="auto"/>
        <w:rPr>
          <w:rFonts w:ascii="Arial" w:hAnsi="Arial" w:cs="Arial"/>
        </w:rPr>
      </w:pPr>
      <w:r w:rsidRPr="00307385">
        <w:rPr>
          <w:rFonts w:ascii="Arial" w:hAnsi="Arial" w:cs="Arial"/>
        </w:rPr>
        <w:t xml:space="preserve">The European </w:t>
      </w:r>
      <w:proofErr w:type="spellStart"/>
      <w:r w:rsidRPr="00307385">
        <w:rPr>
          <w:rFonts w:ascii="Arial" w:hAnsi="Arial" w:cs="Arial"/>
        </w:rPr>
        <w:t>Hematology</w:t>
      </w:r>
      <w:proofErr w:type="spellEnd"/>
      <w:r w:rsidRPr="00307385">
        <w:rPr>
          <w:rFonts w:ascii="Arial" w:hAnsi="Arial" w:cs="Arial"/>
        </w:rPr>
        <w:t xml:space="preserve"> Association (EHA) held its 18th Congress in Stockholm, June 13-16, 2013.  The EHA-theme of the year, from June 2013 to June 2014, is dedicated to "Age and Aging in blood disorders". This includes both the aging of patients with blood disorders and the aging of cells. The congress program combined all patient and policy related sessions into one comprehensive full-day advocacy </w:t>
      </w:r>
      <w:r w:rsidRPr="00307385">
        <w:rPr>
          <w:rFonts w:ascii="Arial" w:hAnsi="Arial" w:cs="Arial"/>
        </w:rPr>
        <w:lastRenderedPageBreak/>
        <w:t>program on June 15, covering: patients' involvement as partners in clinical research; explaining unavailability of treatment; delivering healthcare in times of economic crises; and personalized medicine.</w:t>
      </w:r>
    </w:p>
    <w:p w:rsidR="00B839A9" w:rsidRPr="00307385" w:rsidRDefault="00DB675F" w:rsidP="000236D0">
      <w:pPr>
        <w:pStyle w:val="ListParagraph"/>
        <w:numPr>
          <w:ilvl w:val="1"/>
          <w:numId w:val="37"/>
        </w:numPr>
        <w:spacing w:line="240" w:lineRule="auto"/>
        <w:rPr>
          <w:rFonts w:ascii="Arial" w:hAnsi="Arial" w:cs="Arial"/>
        </w:rPr>
      </w:pPr>
      <w:r w:rsidRPr="00307385">
        <w:rPr>
          <w:rFonts w:ascii="Arial" w:hAnsi="Arial" w:cs="Arial"/>
        </w:rPr>
        <w:t xml:space="preserve">Christopher K. Kepler, from the Thomas Jefferson University in Philadelphia, and colleagues reported in the May issue of </w:t>
      </w:r>
      <w:r w:rsidRPr="00307385">
        <w:rPr>
          <w:rFonts w:ascii="Arial" w:hAnsi="Arial" w:cs="Arial"/>
          <w:i/>
          <w:iCs/>
        </w:rPr>
        <w:t>The Spine Journal</w:t>
      </w:r>
      <w:r w:rsidRPr="00307385">
        <w:rPr>
          <w:rFonts w:ascii="Arial" w:hAnsi="Arial" w:cs="Arial"/>
        </w:rPr>
        <w:t xml:space="preserve"> that minimally invasive surgery for spinal lumbar </w:t>
      </w:r>
      <w:proofErr w:type="spellStart"/>
      <w:r w:rsidRPr="00307385">
        <w:rPr>
          <w:rFonts w:ascii="Arial" w:hAnsi="Arial" w:cs="Arial"/>
        </w:rPr>
        <w:t>interbody</w:t>
      </w:r>
      <w:proofErr w:type="spellEnd"/>
      <w:r w:rsidRPr="00307385">
        <w:rPr>
          <w:rFonts w:ascii="Arial" w:hAnsi="Arial" w:cs="Arial"/>
        </w:rPr>
        <w:t xml:space="preserve"> fusion is associated with reduced blood loss and shorter hospital stays when compared with open surgery.  However if a concomi</w:t>
      </w:r>
      <w:r w:rsidR="00425F21" w:rsidRPr="00307385">
        <w:rPr>
          <w:rFonts w:ascii="Arial" w:hAnsi="Arial" w:cs="Arial"/>
        </w:rPr>
        <w:t>tant decompression is necessary</w:t>
      </w:r>
      <w:r w:rsidRPr="00307385">
        <w:rPr>
          <w:rFonts w:ascii="Arial" w:hAnsi="Arial" w:cs="Arial"/>
        </w:rPr>
        <w:t xml:space="preserve"> these advantages do not obtain. </w:t>
      </w:r>
    </w:p>
    <w:p w:rsidR="00B839A9" w:rsidRPr="00307385" w:rsidRDefault="00B839A9" w:rsidP="000236D0">
      <w:pPr>
        <w:pStyle w:val="ListParagraph"/>
        <w:numPr>
          <w:ilvl w:val="1"/>
          <w:numId w:val="37"/>
        </w:numPr>
        <w:spacing w:line="240" w:lineRule="auto"/>
        <w:rPr>
          <w:rFonts w:ascii="Arial" w:hAnsi="Arial" w:cs="Arial"/>
        </w:rPr>
      </w:pPr>
      <w:r w:rsidRPr="00307385">
        <w:rPr>
          <w:rFonts w:ascii="Arial" w:hAnsi="Arial" w:cs="Arial"/>
        </w:rPr>
        <w:t xml:space="preserve">Patients whose platelet count falls after </w:t>
      </w:r>
      <w:proofErr w:type="spellStart"/>
      <w:r w:rsidRPr="00307385">
        <w:rPr>
          <w:rFonts w:ascii="Arial" w:hAnsi="Arial" w:cs="Arial"/>
        </w:rPr>
        <w:t>transcatheter</w:t>
      </w:r>
      <w:proofErr w:type="spellEnd"/>
      <w:r w:rsidRPr="00307385">
        <w:rPr>
          <w:rFonts w:ascii="Arial" w:hAnsi="Arial" w:cs="Arial"/>
        </w:rPr>
        <w:t xml:space="preserve"> aortic valve replacement (TAVR) have a heightened of adverse events, but the exact mechanisms for the condition and its effects are unknown</w:t>
      </w:r>
      <w:r w:rsidRPr="00307385">
        <w:rPr>
          <w:rStyle w:val="FootnoteReference"/>
          <w:rFonts w:ascii="Georgia" w:hAnsi="Georgia"/>
        </w:rPr>
        <w:footnoteReference w:id="22"/>
      </w:r>
      <w:r w:rsidRPr="00307385">
        <w:rPr>
          <w:rFonts w:ascii="Georgia" w:hAnsi="Georgia"/>
        </w:rPr>
        <w:t>.</w:t>
      </w:r>
    </w:p>
    <w:p w:rsidR="00DB675F" w:rsidRPr="00C261E4" w:rsidRDefault="001367E0" w:rsidP="000236D0">
      <w:pPr>
        <w:pStyle w:val="ListParagraph"/>
        <w:numPr>
          <w:ilvl w:val="1"/>
          <w:numId w:val="37"/>
        </w:numPr>
        <w:spacing w:line="240" w:lineRule="auto"/>
        <w:rPr>
          <w:rFonts w:ascii="Arial" w:hAnsi="Arial" w:cs="Arial"/>
          <w:color w:val="7030A0"/>
        </w:rPr>
      </w:pPr>
      <w:r>
        <w:rPr>
          <w:rFonts w:ascii="Arial" w:hAnsi="Arial" w:cs="Arial"/>
        </w:rPr>
        <w:t>At the 18</w:t>
      </w:r>
      <w:r w:rsidRPr="001367E0">
        <w:rPr>
          <w:rFonts w:ascii="Arial" w:hAnsi="Arial" w:cs="Arial"/>
          <w:vertAlign w:val="superscript"/>
        </w:rPr>
        <w:t>th</w:t>
      </w:r>
      <w:r>
        <w:rPr>
          <w:rFonts w:ascii="Arial" w:hAnsi="Arial" w:cs="Arial"/>
        </w:rPr>
        <w:t xml:space="preserve"> Congress of the European Haematology Association, the </w:t>
      </w:r>
      <w:proofErr w:type="spellStart"/>
      <w:r>
        <w:rPr>
          <w:rFonts w:ascii="Arial" w:hAnsi="Arial" w:cs="Arial"/>
        </w:rPr>
        <w:t>Thalassaemia</w:t>
      </w:r>
      <w:proofErr w:type="spellEnd"/>
      <w:r>
        <w:rPr>
          <w:rFonts w:ascii="Arial" w:hAnsi="Arial" w:cs="Arial"/>
        </w:rPr>
        <w:t xml:space="preserve"> International Federation presented guidelines addressing the Management of Non-Transfusion Dependent </w:t>
      </w:r>
      <w:proofErr w:type="spellStart"/>
      <w:r>
        <w:rPr>
          <w:rFonts w:ascii="Arial" w:hAnsi="Arial" w:cs="Arial"/>
        </w:rPr>
        <w:t>Thalassemias</w:t>
      </w:r>
      <w:proofErr w:type="spellEnd"/>
      <w:r>
        <w:rPr>
          <w:rFonts w:ascii="Arial" w:hAnsi="Arial" w:cs="Arial"/>
        </w:rPr>
        <w:t>.</w:t>
      </w:r>
    </w:p>
    <w:p w:rsidR="006175F4" w:rsidRPr="006175F4" w:rsidRDefault="006175F4" w:rsidP="000236D0">
      <w:pPr>
        <w:pStyle w:val="ListParagraph"/>
        <w:numPr>
          <w:ilvl w:val="1"/>
          <w:numId w:val="37"/>
        </w:numPr>
        <w:spacing w:line="240" w:lineRule="auto"/>
        <w:rPr>
          <w:rFonts w:ascii="Arial" w:hAnsi="Arial" w:cs="Arial"/>
          <w:color w:val="7030A0"/>
        </w:rPr>
      </w:pPr>
      <w:r w:rsidRPr="006175F4">
        <w:rPr>
          <w:rFonts w:ascii="Arial" w:hAnsi="Arial" w:cs="Arial"/>
          <w:bCs/>
        </w:rPr>
        <w:t xml:space="preserve">Researchers at Vanderbilt University Medical </w:t>
      </w:r>
      <w:proofErr w:type="spellStart"/>
      <w:r w:rsidRPr="006175F4">
        <w:rPr>
          <w:rFonts w:ascii="Arial" w:hAnsi="Arial" w:cs="Arial"/>
          <w:bCs/>
        </w:rPr>
        <w:t>Center</w:t>
      </w:r>
      <w:proofErr w:type="spellEnd"/>
      <w:r w:rsidRPr="006175F4">
        <w:rPr>
          <w:rFonts w:ascii="Arial" w:hAnsi="Arial" w:cs="Arial"/>
          <w:bCs/>
        </w:rPr>
        <w:t xml:space="preserve"> say cardiac patients carrying the Leiden variant of a factor V gene lose less blood </w:t>
      </w:r>
      <w:proofErr w:type="spellStart"/>
      <w:r w:rsidRPr="006175F4">
        <w:rPr>
          <w:rFonts w:ascii="Arial" w:hAnsi="Arial" w:cs="Arial"/>
          <w:bCs/>
        </w:rPr>
        <w:t>perioperatively</w:t>
      </w:r>
      <w:proofErr w:type="spellEnd"/>
      <w:r w:rsidR="00FB4A6F">
        <w:rPr>
          <w:rFonts w:ascii="Arial" w:hAnsi="Arial" w:cs="Arial"/>
          <w:bCs/>
        </w:rPr>
        <w:t xml:space="preserve"> than those without the variant</w:t>
      </w:r>
      <w:r w:rsidRPr="006175F4">
        <w:rPr>
          <w:rFonts w:ascii="Arial" w:hAnsi="Arial" w:cs="Arial"/>
          <w:bCs/>
        </w:rPr>
        <w:t xml:space="preserve">; however they are </w:t>
      </w:r>
      <w:r w:rsidR="00307385">
        <w:rPr>
          <w:rFonts w:ascii="Arial" w:hAnsi="Arial" w:cs="Arial"/>
          <w:bCs/>
        </w:rPr>
        <w:t>more prone to thrombosis.  Pre-</w:t>
      </w:r>
      <w:r w:rsidRPr="006175F4">
        <w:rPr>
          <w:rFonts w:ascii="Arial" w:hAnsi="Arial" w:cs="Arial"/>
          <w:bCs/>
        </w:rPr>
        <w:t>surgical screening is suggested for consideration.</w:t>
      </w:r>
    </w:p>
    <w:p w:rsidR="00717407" w:rsidRPr="00717407" w:rsidRDefault="00202819" w:rsidP="00717407">
      <w:pPr>
        <w:pStyle w:val="Heading1"/>
        <w:numPr>
          <w:ilvl w:val="0"/>
          <w:numId w:val="2"/>
        </w:numPr>
        <w:spacing w:before="0" w:line="240" w:lineRule="auto"/>
        <w:ind w:left="360"/>
        <w:rPr>
          <w:b w:val="0"/>
          <w:color w:val="auto"/>
          <w:sz w:val="22"/>
          <w:szCs w:val="22"/>
        </w:rPr>
      </w:pPr>
      <w:bookmarkStart w:id="19" w:name="_Toc362333798"/>
      <w:r w:rsidRPr="00141FC4">
        <w:rPr>
          <w:color w:val="FF0000"/>
        </w:rPr>
        <w:t>Research</w:t>
      </w:r>
      <w:bookmarkEnd w:id="19"/>
      <w:r w:rsidR="004E3A51">
        <w:rPr>
          <w:color w:val="FF0000"/>
        </w:rPr>
        <w:t xml:space="preserve"> </w:t>
      </w:r>
    </w:p>
    <w:p w:rsidR="00202819" w:rsidRPr="00B375E4" w:rsidRDefault="004E3A51" w:rsidP="00B375E4">
      <w:pPr>
        <w:spacing w:after="0" w:line="240" w:lineRule="auto"/>
        <w:rPr>
          <w:rFonts w:ascii="Arial" w:hAnsi="Arial" w:cs="Arial"/>
          <w:i/>
        </w:rPr>
      </w:pPr>
      <w:r w:rsidRPr="00B375E4">
        <w:rPr>
          <w:rFonts w:ascii="Arial" w:hAnsi="Arial" w:cs="Arial"/>
          <w:i/>
        </w:rPr>
        <w:t>A</w:t>
      </w:r>
      <w:r w:rsidR="00717407" w:rsidRPr="00B375E4">
        <w:rPr>
          <w:rFonts w:ascii="Arial" w:hAnsi="Arial" w:cs="Arial"/>
          <w:i/>
        </w:rPr>
        <w:t xml:space="preserve">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w:t>
      </w:r>
      <w:r w:rsidR="00307385">
        <w:rPr>
          <w:rFonts w:ascii="Arial" w:hAnsi="Arial" w:cs="Arial"/>
          <w:i/>
        </w:rPr>
        <w:t>utcomes may not lead to scaled-</w:t>
      </w:r>
      <w:r w:rsidR="00717407" w:rsidRPr="00B375E4">
        <w:rPr>
          <w:rFonts w:ascii="Arial" w:hAnsi="Arial" w:cs="Arial"/>
          <w:i/>
        </w:rPr>
        <w:t>up production, clinical trials, regulatory approval and market development.</w:t>
      </w:r>
    </w:p>
    <w:p w:rsidR="00B375E4" w:rsidRPr="00B375E4" w:rsidRDefault="00B375E4" w:rsidP="00B375E4">
      <w:pPr>
        <w:pStyle w:val="ListParagraph"/>
        <w:spacing w:line="240" w:lineRule="auto"/>
        <w:rPr>
          <w:rFonts w:ascii="Arial" w:hAnsi="Arial" w:cs="Arial"/>
          <w:color w:val="7030A0"/>
        </w:rPr>
      </w:pPr>
    </w:p>
    <w:p w:rsidR="00DB7DED" w:rsidRPr="00C27973" w:rsidRDefault="00DB7DED" w:rsidP="00DB7DED">
      <w:pPr>
        <w:pStyle w:val="ListParagraph"/>
        <w:numPr>
          <w:ilvl w:val="1"/>
          <w:numId w:val="39"/>
        </w:numPr>
        <w:spacing w:line="240" w:lineRule="auto"/>
        <w:rPr>
          <w:rFonts w:ascii="Arial" w:hAnsi="Arial" w:cs="Arial"/>
          <w:color w:val="7030A0"/>
        </w:rPr>
      </w:pPr>
      <w:r w:rsidRPr="00C27973">
        <w:rPr>
          <w:rFonts w:ascii="Arial" w:eastAsia="Times New Roman" w:hAnsi="Arial" w:cs="Arial"/>
        </w:rPr>
        <w:t xml:space="preserve">Jonathan </w:t>
      </w:r>
      <w:proofErr w:type="spellStart"/>
      <w:r w:rsidRPr="00C27973">
        <w:rPr>
          <w:rFonts w:ascii="Arial" w:eastAsia="Times New Roman" w:hAnsi="Arial" w:cs="Arial"/>
        </w:rPr>
        <w:t>Stamler</w:t>
      </w:r>
      <w:proofErr w:type="spellEnd"/>
      <w:r w:rsidRPr="00C27973">
        <w:rPr>
          <w:rFonts w:ascii="Arial" w:eastAsia="Times New Roman" w:hAnsi="Arial" w:cs="Arial"/>
        </w:rPr>
        <w:t xml:space="preserve"> and colleagues from Case Western Reserve School of Medicine and from Duke University Medical </w:t>
      </w:r>
      <w:proofErr w:type="spellStart"/>
      <w:r w:rsidRPr="00C27973">
        <w:rPr>
          <w:rFonts w:ascii="Arial" w:eastAsia="Times New Roman" w:hAnsi="Arial" w:cs="Arial"/>
        </w:rPr>
        <w:t>Center</w:t>
      </w:r>
      <w:proofErr w:type="spellEnd"/>
      <w:r w:rsidRPr="00C27973">
        <w:rPr>
          <w:rFonts w:ascii="Arial" w:eastAsia="Times New Roman" w:hAnsi="Arial" w:cs="Arial"/>
        </w:rPr>
        <w:t xml:space="preserve"> have developed an approach to restore nitric oxide (NO) to donated blood</w:t>
      </w:r>
      <w:r>
        <w:rPr>
          <w:rStyle w:val="FootnoteReference"/>
          <w:rFonts w:ascii="Arial" w:eastAsia="Times New Roman" w:hAnsi="Arial" w:cs="Arial"/>
        </w:rPr>
        <w:footnoteReference w:id="23"/>
      </w:r>
      <w:r w:rsidRPr="00C27973">
        <w:rPr>
          <w:rFonts w:ascii="Arial" w:eastAsia="Times New Roman" w:hAnsi="Arial" w:cs="Arial"/>
        </w:rPr>
        <w:t xml:space="preserve">. They found that restoring blood levels of NO in animals prior to transfusion improved their tissue blood flow, oxygen delivery, and kidney function.  </w:t>
      </w:r>
      <w:proofErr w:type="spellStart"/>
      <w:r w:rsidRPr="00C27973">
        <w:rPr>
          <w:rFonts w:ascii="Arial" w:eastAsia="Times New Roman" w:hAnsi="Arial" w:cs="Arial"/>
        </w:rPr>
        <w:t>Stamler</w:t>
      </w:r>
      <w:proofErr w:type="spellEnd"/>
      <w:r w:rsidRPr="00C27973">
        <w:rPr>
          <w:rFonts w:ascii="Arial" w:eastAsia="Times New Roman" w:hAnsi="Arial" w:cs="Arial"/>
        </w:rPr>
        <w:t xml:space="preserve"> has now secured a grant from the National Heart Lung and Blood Institute to begin a clinical trial to evaluate the oxygen delivery function of banked blood.</w:t>
      </w:r>
    </w:p>
    <w:p w:rsidR="00930F43" w:rsidRPr="00307385" w:rsidRDefault="00202819" w:rsidP="00DB7DED">
      <w:pPr>
        <w:pStyle w:val="ListParagraph"/>
        <w:numPr>
          <w:ilvl w:val="1"/>
          <w:numId w:val="39"/>
        </w:numPr>
        <w:spacing w:line="240" w:lineRule="auto"/>
        <w:rPr>
          <w:rFonts w:ascii="Arial" w:hAnsi="Arial" w:cs="Arial"/>
        </w:rPr>
      </w:pPr>
      <w:r w:rsidRPr="00307385">
        <w:rPr>
          <w:rFonts w:ascii="Arial" w:eastAsia="Times New Roman" w:hAnsi="Arial" w:cs="Arial"/>
        </w:rPr>
        <w:t xml:space="preserve">Doctors at San </w:t>
      </w:r>
      <w:proofErr w:type="spellStart"/>
      <w:r w:rsidRPr="00307385">
        <w:rPr>
          <w:rFonts w:ascii="Arial" w:eastAsia="Times New Roman" w:hAnsi="Arial" w:cs="Arial"/>
        </w:rPr>
        <w:t>Raffaele</w:t>
      </w:r>
      <w:proofErr w:type="spellEnd"/>
      <w:r w:rsidRPr="00307385">
        <w:rPr>
          <w:rFonts w:ascii="Arial" w:eastAsia="Times New Roman" w:hAnsi="Arial" w:cs="Arial"/>
        </w:rPr>
        <w:t xml:space="preserve"> hospital in Milan have recreated part of the function of the pancreas in the bone marrow of four patients. The team recovered endocrine cells from the pancreas surgically removed, "rebuilding" it in the bone marrow at the level of the pelvis.  The endocrine tissue worked, in an observation period of nearly three years, according to the head of the Pancreatic Islet Transplantation Program and Beta Cell Biology Unit at the Diabetes Research Institute of San </w:t>
      </w:r>
      <w:proofErr w:type="spellStart"/>
      <w:r w:rsidRPr="00307385">
        <w:rPr>
          <w:rFonts w:ascii="Arial" w:eastAsia="Times New Roman" w:hAnsi="Arial" w:cs="Arial"/>
        </w:rPr>
        <w:t>Raffaele</w:t>
      </w:r>
      <w:proofErr w:type="spellEnd"/>
      <w:r w:rsidRPr="00307385">
        <w:rPr>
          <w:rFonts w:ascii="Arial" w:eastAsia="Times New Roman" w:hAnsi="Arial" w:cs="Arial"/>
        </w:rPr>
        <w:t>.</w:t>
      </w:r>
    </w:p>
    <w:p w:rsidR="00DB675F" w:rsidRPr="00307385" w:rsidRDefault="00930F43" w:rsidP="00DB7DED">
      <w:pPr>
        <w:pStyle w:val="ListParagraph"/>
        <w:numPr>
          <w:ilvl w:val="1"/>
          <w:numId w:val="39"/>
        </w:numPr>
        <w:spacing w:line="240" w:lineRule="auto"/>
        <w:rPr>
          <w:rFonts w:ascii="Arial" w:hAnsi="Arial" w:cs="Arial"/>
        </w:rPr>
      </w:pPr>
      <w:r w:rsidRPr="00307385">
        <w:rPr>
          <w:rFonts w:ascii="Arial" w:hAnsi="Arial" w:cs="Arial"/>
        </w:rPr>
        <w:t>Platelets, in addition to slowing blood loss, appear to contribute to protection against bacterial infection.  Researchers found that in the livers of mice, platelets and specialized white blood cells co- operate to engulf blood-borne bacteria</w:t>
      </w:r>
      <w:r w:rsidRPr="00307385">
        <w:rPr>
          <w:rStyle w:val="FootnoteReference"/>
          <w:rFonts w:ascii="Arial" w:hAnsi="Arial" w:cs="Arial"/>
        </w:rPr>
        <w:footnoteReference w:id="24"/>
      </w:r>
      <w:r w:rsidRPr="00307385">
        <w:rPr>
          <w:rFonts w:ascii="Arial" w:hAnsi="Arial" w:cs="Arial"/>
        </w:rPr>
        <w:t xml:space="preserve">. </w:t>
      </w:r>
    </w:p>
    <w:p w:rsidR="00E87B8C" w:rsidRPr="00307385" w:rsidRDefault="00DB675F" w:rsidP="00DB7DED">
      <w:pPr>
        <w:pStyle w:val="ListParagraph"/>
        <w:numPr>
          <w:ilvl w:val="1"/>
          <w:numId w:val="39"/>
        </w:numPr>
        <w:spacing w:line="240" w:lineRule="auto"/>
        <w:rPr>
          <w:rFonts w:ascii="Arial" w:hAnsi="Arial" w:cs="Arial"/>
        </w:rPr>
      </w:pPr>
      <w:r w:rsidRPr="00307385">
        <w:rPr>
          <w:rStyle w:val="Strong"/>
          <w:rFonts w:ascii="Arial" w:eastAsia="Times New Roman" w:hAnsi="Arial" w:cs="Arial"/>
          <w:b w:val="0"/>
        </w:rPr>
        <w:t>Whitehead Institute researchers have identified a protein that is the target of glucocorticoids, used to increase red blood cell production in patients with certain types of anaemia, including those resulting from trauma, sepsis, malaria, kidney dialysis, and chemotherapy. Further research could lead to ways of increasing this protein's production so patients do not have to experience the severe side effects of glucocorticoids</w:t>
      </w:r>
      <w:r w:rsidRPr="00307385">
        <w:rPr>
          <w:rStyle w:val="FootnoteReference"/>
          <w:rFonts w:ascii="Arial" w:eastAsia="Times New Roman" w:hAnsi="Arial" w:cs="Arial"/>
          <w:bCs/>
        </w:rPr>
        <w:footnoteReference w:id="25"/>
      </w:r>
      <w:r w:rsidRPr="00307385">
        <w:rPr>
          <w:rStyle w:val="Strong"/>
          <w:rFonts w:ascii="Georgia" w:eastAsia="Times New Roman" w:hAnsi="Georgia"/>
        </w:rPr>
        <w:t>.</w:t>
      </w:r>
      <w:r w:rsidRPr="00307385">
        <w:rPr>
          <w:rFonts w:ascii="Georgia" w:eastAsia="Times New Roman" w:hAnsi="Georgia"/>
        </w:rPr>
        <w:t xml:space="preserve"> </w:t>
      </w:r>
    </w:p>
    <w:p w:rsidR="008E3E50" w:rsidRPr="00307385" w:rsidRDefault="00E87B8C" w:rsidP="00DB7DED">
      <w:pPr>
        <w:pStyle w:val="ListParagraph"/>
        <w:numPr>
          <w:ilvl w:val="1"/>
          <w:numId w:val="39"/>
        </w:numPr>
        <w:spacing w:line="240" w:lineRule="auto"/>
        <w:rPr>
          <w:rFonts w:ascii="Arial" w:hAnsi="Arial" w:cs="Arial"/>
        </w:rPr>
      </w:pPr>
      <w:r w:rsidRPr="00307385">
        <w:rPr>
          <w:rFonts w:ascii="Arial" w:hAnsi="Arial" w:cs="Arial"/>
        </w:rPr>
        <w:lastRenderedPageBreak/>
        <w:t>Researchers who considered thousands of cases involving hospitalized patients found that women were at much lower risk for bloodstream infection and surgical-site infection than men</w:t>
      </w:r>
      <w:r w:rsidRPr="00307385">
        <w:rPr>
          <w:rStyle w:val="FootnoteReference"/>
          <w:rFonts w:ascii="Georgia" w:hAnsi="Georgia"/>
        </w:rPr>
        <w:footnoteReference w:id="26"/>
      </w:r>
      <w:r w:rsidRPr="00307385">
        <w:rPr>
          <w:rFonts w:ascii="Georgia" w:hAnsi="Georgia"/>
        </w:rPr>
        <w:t xml:space="preserve">. </w:t>
      </w:r>
    </w:p>
    <w:p w:rsidR="00C27973" w:rsidRPr="00307385" w:rsidRDefault="008E3E50" w:rsidP="00DB7DED">
      <w:pPr>
        <w:pStyle w:val="ListParagraph"/>
        <w:numPr>
          <w:ilvl w:val="1"/>
          <w:numId w:val="39"/>
        </w:numPr>
        <w:spacing w:line="240" w:lineRule="auto"/>
        <w:rPr>
          <w:rFonts w:ascii="Arial" w:hAnsi="Arial" w:cs="Arial"/>
        </w:rPr>
      </w:pPr>
      <w:r w:rsidRPr="00307385">
        <w:rPr>
          <w:rFonts w:ascii="Arial" w:hAnsi="Arial" w:cs="Arial"/>
        </w:rPr>
        <w:t xml:space="preserve">A nonreactive bioengineered blood vessel has been implanted in the arm of a 62-year-old Virginia man.   The two- hour surgery was performed by </w:t>
      </w:r>
      <w:proofErr w:type="spellStart"/>
      <w:r w:rsidRPr="00307385">
        <w:rPr>
          <w:rFonts w:ascii="Arial" w:hAnsi="Arial" w:cs="Arial"/>
        </w:rPr>
        <w:t>Dr.</w:t>
      </w:r>
      <w:proofErr w:type="spellEnd"/>
      <w:r w:rsidRPr="00307385">
        <w:rPr>
          <w:rFonts w:ascii="Arial" w:hAnsi="Arial" w:cs="Arial"/>
        </w:rPr>
        <w:t xml:space="preserve"> </w:t>
      </w:r>
      <w:hyperlink r:id="rId15" w:tgtFrame="_blank" w:history="1">
        <w:r w:rsidRPr="00307385">
          <w:rPr>
            <w:rStyle w:val="Hyperlink"/>
            <w:rFonts w:ascii="Arial" w:hAnsi="Arial" w:cs="Arial"/>
            <w:color w:val="auto"/>
            <w:u w:val="none"/>
          </w:rPr>
          <w:t>Jeffrey H. Lawson</w:t>
        </w:r>
      </w:hyperlink>
      <w:r w:rsidRPr="00307385">
        <w:rPr>
          <w:rFonts w:ascii="Arial" w:hAnsi="Arial" w:cs="Arial"/>
        </w:rPr>
        <w:t>, Duke University School of Medicine vascular surgeon. It was the first in a Phase I clinical trial to test the safety of lab-grown vein implants in 20 kidney dialysis patients.</w:t>
      </w:r>
    </w:p>
    <w:p w:rsidR="001872D2" w:rsidRDefault="00BA4D84" w:rsidP="00DB7DED">
      <w:pPr>
        <w:pStyle w:val="ListParagraph"/>
        <w:numPr>
          <w:ilvl w:val="1"/>
          <w:numId w:val="39"/>
        </w:numPr>
        <w:spacing w:line="240" w:lineRule="auto"/>
        <w:rPr>
          <w:rFonts w:ascii="Arial" w:hAnsi="Arial" w:cs="Arial"/>
        </w:rPr>
      </w:pPr>
      <w:r w:rsidRPr="00EB322A">
        <w:rPr>
          <w:rFonts w:ascii="Arial" w:hAnsi="Arial" w:cs="Arial"/>
        </w:rPr>
        <w:t xml:space="preserve">Harvard researchers report that two HIV-positive patients who received bone marrow transplants for cancer stopped anti-retroviral therapy and so far display no detectable sign of the HIV virus; they say it is too early to claim a cure.  </w:t>
      </w:r>
    </w:p>
    <w:p w:rsidR="00731691" w:rsidRDefault="00704488" w:rsidP="00DB7DED">
      <w:pPr>
        <w:pStyle w:val="ListParagraph"/>
        <w:numPr>
          <w:ilvl w:val="1"/>
          <w:numId w:val="39"/>
        </w:numPr>
        <w:spacing w:line="240" w:lineRule="auto"/>
        <w:rPr>
          <w:rFonts w:ascii="Arial" w:hAnsi="Arial" w:cs="Arial"/>
        </w:rPr>
      </w:pPr>
      <w:r w:rsidRPr="001872D2">
        <w:rPr>
          <w:rFonts w:ascii="Arial" w:hAnsi="Arial" w:cs="Arial"/>
        </w:rPr>
        <w:t xml:space="preserve">Research suggests that if </w:t>
      </w:r>
      <w:r w:rsidR="001872D2" w:rsidRPr="001872D2">
        <w:rPr>
          <w:rFonts w:ascii="Arial" w:hAnsi="Arial" w:cs="Arial"/>
        </w:rPr>
        <w:t>liver cells are derived from human induced pluripotent stem cells and cultured with progenitor cells they will organize themselves into functional, three-dimensional liver buds. Their metabolisms exhibits some aspects found in human livers.  If the liver buds are transplanted into mice, they connect to the circulatory system</w:t>
      </w:r>
      <w:r w:rsidR="001872D2">
        <w:rPr>
          <w:rStyle w:val="FootnoteReference"/>
          <w:rFonts w:ascii="Arial" w:hAnsi="Arial" w:cs="Arial"/>
        </w:rPr>
        <w:footnoteReference w:id="27"/>
      </w:r>
      <w:r w:rsidR="001872D2" w:rsidRPr="001872D2">
        <w:rPr>
          <w:rFonts w:ascii="Arial" w:hAnsi="Arial" w:cs="Arial"/>
        </w:rPr>
        <w:t>.</w:t>
      </w:r>
    </w:p>
    <w:p w:rsidR="00837332" w:rsidRDefault="00731691" w:rsidP="00DB7DED">
      <w:pPr>
        <w:pStyle w:val="ListParagraph"/>
        <w:numPr>
          <w:ilvl w:val="1"/>
          <w:numId w:val="39"/>
        </w:numPr>
        <w:spacing w:line="240" w:lineRule="auto"/>
        <w:rPr>
          <w:rFonts w:ascii="Arial" w:hAnsi="Arial" w:cs="Arial"/>
        </w:rPr>
      </w:pPr>
      <w:r w:rsidRPr="00731691">
        <w:rPr>
          <w:rFonts w:ascii="Arial" w:hAnsi="Arial" w:cs="Arial"/>
        </w:rPr>
        <w:t>Researchers from Ryerson University, Toronto found that, using laser light, they can quickly detect pathogens in red blood cells.  The cells emit high frequency sound waves in response to the light.  The waves indicate cell health, as varying diseases change the shape and size of red blood cells</w:t>
      </w:r>
      <w:r w:rsidRPr="00FA61FF">
        <w:rPr>
          <w:rStyle w:val="FootnoteReference"/>
          <w:rFonts w:ascii="Arial" w:hAnsi="Arial" w:cs="Arial"/>
        </w:rPr>
        <w:footnoteReference w:id="28"/>
      </w:r>
      <w:r w:rsidRPr="00731691">
        <w:rPr>
          <w:rFonts w:ascii="Arial" w:hAnsi="Arial" w:cs="Arial"/>
        </w:rPr>
        <w:t xml:space="preserve">.  </w:t>
      </w:r>
      <w:proofErr w:type="spellStart"/>
      <w:r w:rsidRPr="00731691">
        <w:rPr>
          <w:rFonts w:ascii="Arial" w:hAnsi="Arial" w:cs="Arial"/>
        </w:rPr>
        <w:t>Dr.</w:t>
      </w:r>
      <w:proofErr w:type="spellEnd"/>
      <w:r w:rsidRPr="00731691">
        <w:rPr>
          <w:rFonts w:ascii="Arial" w:hAnsi="Arial" w:cs="Arial"/>
        </w:rPr>
        <w:t xml:space="preserve"> Michael </w:t>
      </w:r>
      <w:proofErr w:type="spellStart"/>
      <w:r w:rsidRPr="00731691">
        <w:rPr>
          <w:rFonts w:ascii="Arial" w:hAnsi="Arial" w:cs="Arial"/>
        </w:rPr>
        <w:t>Kolios</w:t>
      </w:r>
      <w:proofErr w:type="spellEnd"/>
      <w:r w:rsidRPr="00731691">
        <w:rPr>
          <w:rFonts w:ascii="Arial" w:hAnsi="Arial" w:cs="Arial"/>
        </w:rPr>
        <w:t xml:space="preserve"> and his colleagues differentiated healthy red blood cells from diseased red blood cells using a </w:t>
      </w:r>
      <w:proofErr w:type="spellStart"/>
      <w:r w:rsidRPr="00731691">
        <w:rPr>
          <w:rFonts w:ascii="Arial" w:hAnsi="Arial" w:cs="Arial"/>
        </w:rPr>
        <w:t>photoacoustic</w:t>
      </w:r>
      <w:proofErr w:type="spellEnd"/>
      <w:r w:rsidRPr="00731691">
        <w:rPr>
          <w:rFonts w:ascii="Arial" w:hAnsi="Arial" w:cs="Arial"/>
        </w:rPr>
        <w:t xml:space="preserve"> microscope.  </w:t>
      </w:r>
      <w:r w:rsidRPr="00731691">
        <w:rPr>
          <w:rFonts w:ascii="Arial" w:hAnsi="Arial" w:cs="Arial"/>
          <w:color w:val="000000"/>
        </w:rPr>
        <w:t>Malaria, which is characterized by the swelling of red blood cells</w:t>
      </w:r>
      <w:r w:rsidR="00E66BE9">
        <w:rPr>
          <w:rFonts w:ascii="Arial" w:hAnsi="Arial" w:cs="Arial"/>
          <w:color w:val="000000"/>
        </w:rPr>
        <w:t>,</w:t>
      </w:r>
      <w:r w:rsidRPr="00731691">
        <w:rPr>
          <w:rFonts w:ascii="Arial" w:hAnsi="Arial" w:cs="Arial"/>
          <w:color w:val="000000"/>
        </w:rPr>
        <w:t xml:space="preserve"> could be rapidly distinguished from sickle cell anaemia, in which the red blood cells distort into a serrated crescent shape</w:t>
      </w:r>
      <w:r w:rsidR="00E66BE9">
        <w:rPr>
          <w:rFonts w:ascii="Arial" w:hAnsi="Arial" w:cs="Arial"/>
          <w:color w:val="000000"/>
        </w:rPr>
        <w:t>.</w:t>
      </w:r>
      <w:r w:rsidRPr="00731691">
        <w:rPr>
          <w:rFonts w:ascii="Arial" w:hAnsi="Arial" w:cs="Arial"/>
        </w:rPr>
        <w:t xml:space="preserve">  Sample size was 21 cells.  The team is developing a microfluidic device to measure thousands of cells quickly with minimal operator involvement.  The technology is being tested for white blood cells. </w:t>
      </w:r>
    </w:p>
    <w:p w:rsidR="00837332" w:rsidRPr="0040269A" w:rsidRDefault="00837332" w:rsidP="00DB7DED">
      <w:pPr>
        <w:pStyle w:val="ListParagraph"/>
        <w:numPr>
          <w:ilvl w:val="1"/>
          <w:numId w:val="39"/>
        </w:numPr>
        <w:spacing w:line="240" w:lineRule="auto"/>
        <w:rPr>
          <w:rFonts w:ascii="Arial" w:hAnsi="Arial" w:cs="Arial"/>
        </w:rPr>
      </w:pPr>
      <w:r w:rsidRPr="00837332">
        <w:rPr>
          <w:rFonts w:ascii="Arial" w:eastAsia="Times New Roman" w:hAnsi="Arial" w:cs="Arial"/>
        </w:rPr>
        <w:t>A team at the Max Planck Institute for Heart and Lung Research says it has found the mechanism that cancer cells use to make blood platelets “open a door</w:t>
      </w:r>
      <w:r w:rsidR="00E66BE9">
        <w:rPr>
          <w:rFonts w:ascii="Arial" w:eastAsia="Times New Roman" w:hAnsi="Arial" w:cs="Arial"/>
        </w:rPr>
        <w:t>”</w:t>
      </w:r>
      <w:r w:rsidRPr="00837332">
        <w:rPr>
          <w:rFonts w:ascii="Arial" w:eastAsia="Times New Roman" w:hAnsi="Arial" w:cs="Arial"/>
        </w:rPr>
        <w:t xml:space="preserve"> in the blood vessel wall so they can invade new organs</w:t>
      </w:r>
      <w:r w:rsidRPr="00A33118">
        <w:rPr>
          <w:rStyle w:val="FootnoteReference"/>
          <w:rFonts w:ascii="Arial" w:eastAsia="Times New Roman" w:hAnsi="Arial" w:cs="Arial"/>
        </w:rPr>
        <w:footnoteReference w:id="29"/>
      </w:r>
      <w:r w:rsidRPr="00837332">
        <w:rPr>
          <w:rFonts w:ascii="Arial" w:eastAsia="Times New Roman" w:hAnsi="Arial" w:cs="Arial"/>
        </w:rPr>
        <w:t xml:space="preserve">. </w:t>
      </w:r>
    </w:p>
    <w:p w:rsidR="006B401F" w:rsidRPr="006B401F" w:rsidRDefault="0040269A" w:rsidP="00DB7DED">
      <w:pPr>
        <w:pStyle w:val="ListParagraph"/>
        <w:numPr>
          <w:ilvl w:val="1"/>
          <w:numId w:val="39"/>
        </w:numPr>
        <w:spacing w:line="240" w:lineRule="auto"/>
        <w:rPr>
          <w:rFonts w:ascii="Arial" w:hAnsi="Arial" w:cs="Arial"/>
        </w:rPr>
      </w:pPr>
      <w:r>
        <w:rPr>
          <w:rFonts w:ascii="Arial" w:eastAsia="Times New Roman" w:hAnsi="Arial" w:cs="Arial"/>
        </w:rPr>
        <w:t>Researchers have found how to identify prion diseases and other diseases involving defective proteins, with the use of a fluorescent molecule that changes colour according to the disease identified</w:t>
      </w:r>
      <w:r>
        <w:rPr>
          <w:rStyle w:val="FootnoteReference"/>
          <w:rFonts w:ascii="Arial" w:eastAsia="Times New Roman" w:hAnsi="Arial" w:cs="Arial"/>
        </w:rPr>
        <w:footnoteReference w:id="30"/>
      </w:r>
      <w:r>
        <w:rPr>
          <w:rFonts w:ascii="Arial" w:eastAsia="Times New Roman" w:hAnsi="Arial" w:cs="Arial"/>
        </w:rPr>
        <w:t>.</w:t>
      </w:r>
    </w:p>
    <w:p w:rsidR="005A5525" w:rsidRPr="005A5525" w:rsidRDefault="006B401F" w:rsidP="00DB7DED">
      <w:pPr>
        <w:pStyle w:val="ListParagraph"/>
        <w:numPr>
          <w:ilvl w:val="1"/>
          <w:numId w:val="39"/>
        </w:numPr>
        <w:spacing w:line="240" w:lineRule="auto"/>
        <w:rPr>
          <w:rFonts w:ascii="Arial" w:hAnsi="Arial" w:cs="Arial"/>
        </w:rPr>
      </w:pPr>
      <w:r w:rsidRPr="006B401F">
        <w:rPr>
          <w:rFonts w:ascii="Arial" w:hAnsi="Arial" w:cs="Arial"/>
        </w:rPr>
        <w:t>Engineers from Queen Mary, University of London have developed a computer simulation of how red blood cells might travel around the body.  Professor John Williams says this could help doctors “visualise the cells’ movement, interaction, deformation and adhesion in three dimensions” and thus understand which areas of the body are short of oxygen as a result of particular conditions or procedures</w:t>
      </w:r>
      <w:r w:rsidRPr="006B401F">
        <w:rPr>
          <w:rFonts w:ascii="Georgia" w:hAnsi="Georgia"/>
        </w:rPr>
        <w:t>.</w:t>
      </w:r>
    </w:p>
    <w:p w:rsidR="005A5525" w:rsidRPr="005A5525" w:rsidRDefault="005A5525" w:rsidP="00DB7DED">
      <w:pPr>
        <w:pStyle w:val="ListParagraph"/>
        <w:numPr>
          <w:ilvl w:val="1"/>
          <w:numId w:val="39"/>
        </w:numPr>
        <w:spacing w:line="240" w:lineRule="auto"/>
        <w:rPr>
          <w:rFonts w:ascii="Arial" w:hAnsi="Arial" w:cs="Arial"/>
        </w:rPr>
      </w:pPr>
      <w:r w:rsidRPr="005A5525">
        <w:rPr>
          <w:rFonts w:ascii="Arial" w:hAnsi="Arial" w:cs="Arial"/>
          <w:color w:val="000000"/>
        </w:rPr>
        <w:t xml:space="preserve">Researchers from the Boston University School of Medicine, Boston University School of Public Health and Boston Medical </w:t>
      </w:r>
      <w:proofErr w:type="spellStart"/>
      <w:r w:rsidRPr="005A5525">
        <w:rPr>
          <w:rFonts w:ascii="Arial" w:hAnsi="Arial" w:cs="Arial"/>
          <w:color w:val="000000"/>
        </w:rPr>
        <w:t>Center</w:t>
      </w:r>
      <w:proofErr w:type="spellEnd"/>
      <w:r w:rsidRPr="005A5525">
        <w:rPr>
          <w:rFonts w:ascii="Arial" w:hAnsi="Arial" w:cs="Arial"/>
          <w:color w:val="000000"/>
        </w:rPr>
        <w:t xml:space="preserve"> have identified an approach to </w:t>
      </w:r>
      <w:r w:rsidRPr="005A5525">
        <w:rPr>
          <w:rFonts w:ascii="Arial" w:hAnsi="Arial" w:cs="Arial"/>
          <w:color w:val="000000"/>
        </w:rPr>
        <w:lastRenderedPageBreak/>
        <w:t>creating human red blood cells and platelets in vitro.  They differentiated induced pluripotent stem (</w:t>
      </w:r>
      <w:proofErr w:type="spellStart"/>
      <w:r w:rsidRPr="005A5525">
        <w:rPr>
          <w:rFonts w:ascii="Arial" w:hAnsi="Arial" w:cs="Arial"/>
          <w:color w:val="000000"/>
        </w:rPr>
        <w:t>iPS</w:t>
      </w:r>
      <w:proofErr w:type="spellEnd"/>
      <w:r w:rsidRPr="005A5525">
        <w:rPr>
          <w:rFonts w:ascii="Arial" w:hAnsi="Arial" w:cs="Arial"/>
          <w:color w:val="000000"/>
        </w:rPr>
        <w:t>) cells into the two cell types</w:t>
      </w:r>
      <w:r w:rsidRPr="00A742B5">
        <w:rPr>
          <w:rStyle w:val="FootnoteReference"/>
          <w:rFonts w:ascii="Arial" w:hAnsi="Arial" w:cs="Arial"/>
          <w:color w:val="000000"/>
        </w:rPr>
        <w:footnoteReference w:id="31"/>
      </w:r>
      <w:r w:rsidRPr="005A5525">
        <w:rPr>
          <w:rFonts w:ascii="Arial" w:hAnsi="Arial" w:cs="Arial"/>
          <w:color w:val="000000"/>
        </w:rPr>
        <w:t xml:space="preserve">.  </w:t>
      </w:r>
    </w:p>
    <w:p w:rsidR="005A5525" w:rsidRDefault="005A5525" w:rsidP="00DB7DED">
      <w:pPr>
        <w:pStyle w:val="ListParagraph"/>
        <w:numPr>
          <w:ilvl w:val="1"/>
          <w:numId w:val="39"/>
        </w:numPr>
        <w:spacing w:line="240" w:lineRule="auto"/>
        <w:rPr>
          <w:rFonts w:ascii="Arial" w:hAnsi="Arial" w:cs="Arial"/>
        </w:rPr>
      </w:pPr>
      <w:r>
        <w:rPr>
          <w:rFonts w:ascii="Arial" w:hAnsi="Arial" w:cs="Arial"/>
        </w:rPr>
        <w:t xml:space="preserve">Scientists from Australia’s CSIRO have developed a method of testing whether </w:t>
      </w:r>
      <w:proofErr w:type="spellStart"/>
      <w:r>
        <w:rPr>
          <w:rFonts w:ascii="Arial" w:hAnsi="Arial" w:cs="Arial"/>
        </w:rPr>
        <w:t>iPS</w:t>
      </w:r>
      <w:proofErr w:type="spellEnd"/>
      <w:r>
        <w:rPr>
          <w:rFonts w:ascii="Arial" w:hAnsi="Arial" w:cs="Arial"/>
        </w:rPr>
        <w:t xml:space="preserve"> cells are safe.</w:t>
      </w:r>
    </w:p>
    <w:p w:rsidR="00A46566" w:rsidRDefault="00A46566" w:rsidP="00DB7DED">
      <w:pPr>
        <w:pStyle w:val="ListParagraph"/>
        <w:numPr>
          <w:ilvl w:val="1"/>
          <w:numId w:val="39"/>
        </w:numPr>
        <w:spacing w:line="240" w:lineRule="auto"/>
        <w:rPr>
          <w:rFonts w:ascii="Arial" w:hAnsi="Arial" w:cs="Arial"/>
        </w:rPr>
      </w:pPr>
      <w:r>
        <w:rPr>
          <w:rFonts w:ascii="Arial" w:hAnsi="Arial" w:cs="Arial"/>
        </w:rPr>
        <w:t xml:space="preserve">Scientists at the Icahn School of Medicine at Mount Sinai transferred four genes into mouse fibroblast cells and produced cells that resemble </w:t>
      </w:r>
      <w:proofErr w:type="spellStart"/>
      <w:r>
        <w:rPr>
          <w:rFonts w:ascii="Arial" w:hAnsi="Arial" w:cs="Arial"/>
        </w:rPr>
        <w:t>hematopoetic</w:t>
      </w:r>
      <w:proofErr w:type="spellEnd"/>
      <w:r>
        <w:rPr>
          <w:rFonts w:ascii="Arial" w:hAnsi="Arial" w:cs="Arial"/>
        </w:rPr>
        <w:t xml:space="preserve"> stem cells</w:t>
      </w:r>
      <w:r w:rsidR="00430372">
        <w:rPr>
          <w:rStyle w:val="FootnoteReference"/>
          <w:rFonts w:ascii="Arial" w:hAnsi="Arial" w:cs="Arial"/>
        </w:rPr>
        <w:footnoteReference w:id="32"/>
      </w:r>
      <w:r w:rsidR="00430372">
        <w:rPr>
          <w:rFonts w:ascii="Arial" w:hAnsi="Arial" w:cs="Arial"/>
        </w:rPr>
        <w:t>.</w:t>
      </w:r>
    </w:p>
    <w:p w:rsidR="005A5525" w:rsidRDefault="005A5525" w:rsidP="00DB7DED">
      <w:pPr>
        <w:pStyle w:val="ListParagraph"/>
        <w:numPr>
          <w:ilvl w:val="1"/>
          <w:numId w:val="39"/>
        </w:numPr>
        <w:spacing w:after="0" w:line="240" w:lineRule="auto"/>
        <w:rPr>
          <w:rFonts w:ascii="Arial" w:hAnsi="Arial" w:cs="Arial"/>
        </w:rPr>
      </w:pPr>
      <w:r>
        <w:rPr>
          <w:rFonts w:ascii="Arial" w:hAnsi="Arial" w:cs="Arial"/>
        </w:rPr>
        <w:t>Biocompatible polymer-based sponges</w:t>
      </w:r>
      <w:r w:rsidR="00A46566">
        <w:rPr>
          <w:rFonts w:ascii="Arial" w:hAnsi="Arial" w:cs="Arial"/>
        </w:rPr>
        <w:t xml:space="preserve"> developed by engineers at the University of California, San Diego, are designed to circulate in the blood stream and suck up toxins from bacteria and venom before they damage healthy tissue.  The next step will be clinical trials</w:t>
      </w:r>
      <w:r w:rsidR="00A46566">
        <w:rPr>
          <w:rStyle w:val="FootnoteReference"/>
          <w:rFonts w:ascii="Arial" w:hAnsi="Arial" w:cs="Arial"/>
        </w:rPr>
        <w:footnoteReference w:id="33"/>
      </w:r>
      <w:r w:rsidR="00A46566">
        <w:rPr>
          <w:rFonts w:ascii="Arial" w:hAnsi="Arial" w:cs="Arial"/>
        </w:rPr>
        <w:t>.</w:t>
      </w:r>
    </w:p>
    <w:p w:rsidR="00C8156E" w:rsidRPr="006B401F" w:rsidRDefault="00C8156E" w:rsidP="00C8156E">
      <w:pPr>
        <w:pStyle w:val="ListParagraph"/>
        <w:spacing w:after="0" w:line="240" w:lineRule="auto"/>
        <w:rPr>
          <w:rFonts w:ascii="Arial" w:hAnsi="Arial" w:cs="Arial"/>
        </w:rPr>
      </w:pPr>
    </w:p>
    <w:p w:rsidR="00E66BE9" w:rsidRDefault="004145C1" w:rsidP="009C7F66">
      <w:pPr>
        <w:pStyle w:val="Heading1"/>
        <w:numPr>
          <w:ilvl w:val="0"/>
          <w:numId w:val="2"/>
        </w:numPr>
        <w:spacing w:before="0"/>
        <w:ind w:left="360"/>
        <w:rPr>
          <w:color w:val="FF0000"/>
        </w:rPr>
      </w:pPr>
      <w:bookmarkStart w:id="20" w:name="_Toc362333799"/>
      <w:r>
        <w:rPr>
          <w:color w:val="FF0000"/>
        </w:rPr>
        <w:t>Legal actions and e</w:t>
      </w:r>
      <w:r w:rsidR="009C49E7">
        <w:rPr>
          <w:color w:val="FF0000"/>
        </w:rPr>
        <w:t>nquiries</w:t>
      </w:r>
      <w:bookmarkEnd w:id="20"/>
    </w:p>
    <w:p w:rsidR="009C49E7" w:rsidRDefault="00E66BE9" w:rsidP="00E66BE9">
      <w:pPr>
        <w:spacing w:after="0" w:line="240" w:lineRule="auto"/>
        <w:rPr>
          <w:color w:val="FF0000"/>
        </w:rPr>
      </w:pPr>
      <w:r w:rsidRPr="008D12C2">
        <w:rPr>
          <w:rFonts w:ascii="Arial" w:hAnsi="Arial" w:cs="Arial"/>
          <w:i/>
        </w:rPr>
        <w:t xml:space="preserve">The NBA is interested in the implications for Australia of any proceedings against companies, governments and professional practitioners in relation to blood and blood products; or of relevant public enquiries.  </w:t>
      </w:r>
      <w:r w:rsidR="009C49E7" w:rsidRPr="009C49E7">
        <w:rPr>
          <w:color w:val="FF0000"/>
        </w:rPr>
        <w:tab/>
      </w:r>
    </w:p>
    <w:p w:rsidR="00C8156E" w:rsidRPr="009C49E7" w:rsidRDefault="00C8156E" w:rsidP="00E66BE9">
      <w:pPr>
        <w:spacing w:after="0" w:line="240" w:lineRule="auto"/>
        <w:rPr>
          <w:color w:val="FF0000"/>
        </w:rPr>
      </w:pPr>
    </w:p>
    <w:p w:rsidR="009C49E7" w:rsidRPr="00307385" w:rsidRDefault="009C49E7" w:rsidP="009C7F66">
      <w:pPr>
        <w:pStyle w:val="ListParagraph"/>
        <w:numPr>
          <w:ilvl w:val="1"/>
          <w:numId w:val="15"/>
        </w:numPr>
        <w:spacing w:after="0" w:line="240" w:lineRule="auto"/>
        <w:rPr>
          <w:rFonts w:ascii="Arial" w:eastAsia="Times New Roman" w:hAnsi="Arial" w:cs="Arial"/>
          <w:bCs/>
          <w:lang w:eastAsia="en-AU"/>
        </w:rPr>
      </w:pPr>
      <w:r w:rsidRPr="00307385">
        <w:rPr>
          <w:rFonts w:ascii="Arial" w:eastAsia="Times New Roman" w:hAnsi="Arial" w:cs="Arial"/>
          <w:bCs/>
          <w:lang w:eastAsia="en-AU"/>
        </w:rPr>
        <w:t>A Baxter shareholder initiated action against 11 Board members,  claiming they didn't do enough to investigate fraud accusations connected to a $US588 million infusion pump recall,  and also that the company manipulated the blood plasma market by taking over competitors. Investor Ellen Fischer filed the suit in the Delaware Chancery Court</w:t>
      </w:r>
      <w:r w:rsidR="00EC0009" w:rsidRPr="00307385">
        <w:rPr>
          <w:rFonts w:ascii="Arial" w:eastAsia="Times New Roman" w:hAnsi="Arial" w:cs="Arial"/>
          <w:bCs/>
          <w:lang w:eastAsia="en-AU"/>
        </w:rPr>
        <w:t>.</w:t>
      </w:r>
    </w:p>
    <w:p w:rsidR="00C8156E" w:rsidRPr="00141FC4" w:rsidRDefault="00C8156E" w:rsidP="00C8156E">
      <w:pPr>
        <w:pStyle w:val="ListParagraph"/>
        <w:spacing w:after="0" w:line="240" w:lineRule="auto"/>
        <w:rPr>
          <w:rFonts w:ascii="Arial" w:eastAsia="Times New Roman" w:hAnsi="Arial" w:cs="Arial"/>
          <w:bCs/>
          <w:color w:val="7030A0"/>
          <w:lang w:eastAsia="en-AU"/>
        </w:rPr>
      </w:pPr>
    </w:p>
    <w:p w:rsidR="00D54169" w:rsidRDefault="00D54169" w:rsidP="009C7F66">
      <w:pPr>
        <w:pStyle w:val="Heading1"/>
        <w:numPr>
          <w:ilvl w:val="0"/>
          <w:numId w:val="2"/>
        </w:numPr>
        <w:spacing w:before="0"/>
        <w:ind w:left="360"/>
        <w:rPr>
          <w:color w:val="FF0000"/>
        </w:rPr>
      </w:pPr>
      <w:bookmarkStart w:id="21" w:name="_Toc362333800"/>
      <w:r w:rsidRPr="00D54169">
        <w:rPr>
          <w:color w:val="FF0000"/>
        </w:rPr>
        <w:t>Infectious diseases</w:t>
      </w:r>
      <w:bookmarkEnd w:id="21"/>
      <w:r>
        <w:rPr>
          <w:color w:val="FF0000"/>
        </w:rPr>
        <w:tab/>
      </w:r>
    </w:p>
    <w:p w:rsidR="001C2106" w:rsidRDefault="001C2106" w:rsidP="009C7F66">
      <w:pPr>
        <w:spacing w:after="0" w:line="240" w:lineRule="auto"/>
        <w:rPr>
          <w:rFonts w:ascii="Arial" w:hAnsi="Arial" w:cs="Arial"/>
          <w:i/>
        </w:rPr>
      </w:pPr>
      <w:r w:rsidRPr="001C2106">
        <w:rPr>
          <w:rFonts w:ascii="Arial" w:hAnsi="Arial" w:cs="Arial"/>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1C2106">
        <w:rPr>
          <w:rFonts w:ascii="Arial" w:hAnsi="Arial" w:cs="Arial"/>
          <w:i/>
        </w:rPr>
        <w:t>vCJD</w:t>
      </w:r>
      <w:proofErr w:type="spellEnd"/>
      <w:r w:rsidRPr="001C2106">
        <w:rPr>
          <w:rFonts w:ascii="Arial" w:hAnsi="Arial" w:cs="Arial"/>
          <w:i/>
        </w:rPr>
        <w:t xml:space="preserve">). Blood donations are tested for a number of diseases (e.g. HIV and Hepatitis B), but there are also emerging infectious diseases for which it may become necessary to test in the future (e.g. </w:t>
      </w:r>
      <w:proofErr w:type="spellStart"/>
      <w:r w:rsidRPr="001C2106">
        <w:rPr>
          <w:rFonts w:ascii="Arial" w:hAnsi="Arial" w:cs="Arial"/>
          <w:i/>
        </w:rPr>
        <w:t>Chagas</w:t>
      </w:r>
      <w:proofErr w:type="spellEnd"/>
      <w:r w:rsidRPr="001C2106">
        <w:rPr>
          <w:rFonts w:ascii="Arial" w:hAnsi="Arial" w:cs="Arial"/>
          <w:i/>
        </w:rPr>
        <w:t xml:space="preserve"> disease, and the tick-borne </w:t>
      </w:r>
      <w:proofErr w:type="spellStart"/>
      <w:r w:rsidRPr="001C2106">
        <w:rPr>
          <w:rFonts w:ascii="Arial" w:hAnsi="Arial" w:cs="Arial"/>
          <w:i/>
        </w:rPr>
        <w:t>babesiosis</w:t>
      </w:r>
      <w:proofErr w:type="spellEnd"/>
      <w:r w:rsidRPr="001C2106">
        <w:rPr>
          <w:rFonts w:ascii="Arial" w:hAnsi="Arial" w:cs="Arial"/>
          <w:i/>
        </w:rPr>
        <w:t xml:space="preserve"> and Lyme disease).</w:t>
      </w:r>
    </w:p>
    <w:p w:rsidR="00C8156E" w:rsidRPr="001C2106" w:rsidRDefault="00C8156E" w:rsidP="009C7F66">
      <w:pPr>
        <w:spacing w:after="0" w:line="240" w:lineRule="auto"/>
        <w:rPr>
          <w:rFonts w:ascii="Arial" w:hAnsi="Arial" w:cs="Arial"/>
          <w:lang w:val="en-GB"/>
        </w:rPr>
      </w:pPr>
    </w:p>
    <w:p w:rsidR="001A20BD" w:rsidRPr="001A20BD" w:rsidRDefault="001A20BD" w:rsidP="009C7F66">
      <w:pPr>
        <w:pStyle w:val="Heading3"/>
        <w:spacing w:before="0"/>
      </w:pPr>
      <w:bookmarkStart w:id="22" w:name="_Toc362333801"/>
      <w:r>
        <w:t>Mosquito- borne diseases</w:t>
      </w:r>
      <w:r w:rsidR="0012223A">
        <w:t xml:space="preserve">: dengue, </w:t>
      </w:r>
      <w:proofErr w:type="spellStart"/>
      <w:r w:rsidR="0012223A">
        <w:t>chikungunya</w:t>
      </w:r>
      <w:proofErr w:type="spellEnd"/>
      <w:r w:rsidR="0012223A">
        <w:t xml:space="preserve"> and malaria</w:t>
      </w:r>
      <w:bookmarkEnd w:id="22"/>
    </w:p>
    <w:p w:rsidR="00B839A9" w:rsidRPr="00307385" w:rsidRDefault="00FC66A3" w:rsidP="00B839A9">
      <w:pPr>
        <w:pStyle w:val="ListParagraph"/>
        <w:numPr>
          <w:ilvl w:val="1"/>
          <w:numId w:val="29"/>
        </w:numPr>
        <w:spacing w:line="240" w:lineRule="auto"/>
        <w:rPr>
          <w:rFonts w:ascii="Arial" w:hAnsi="Arial" w:cs="Arial"/>
        </w:rPr>
      </w:pPr>
      <w:r w:rsidRPr="00307385">
        <w:rPr>
          <w:rFonts w:ascii="Arial" w:eastAsia="Times New Roman" w:hAnsi="Arial" w:cs="Arial"/>
          <w:sz w:val="21"/>
          <w:szCs w:val="21"/>
          <w:lang w:eastAsia="en-AU"/>
        </w:rPr>
        <w:t xml:space="preserve">The number of people </w:t>
      </w:r>
      <w:r w:rsidR="009C49E7" w:rsidRPr="00307385">
        <w:rPr>
          <w:rFonts w:ascii="Arial" w:eastAsia="Times New Roman" w:hAnsi="Arial" w:cs="Arial"/>
          <w:sz w:val="21"/>
          <w:szCs w:val="21"/>
          <w:lang w:eastAsia="en-AU"/>
        </w:rPr>
        <w:t xml:space="preserve">contracting dengue in Singapore this year </w:t>
      </w:r>
      <w:r w:rsidR="00E66BE9" w:rsidRPr="00307385">
        <w:rPr>
          <w:rFonts w:ascii="Arial" w:eastAsia="Times New Roman" w:hAnsi="Arial" w:cs="Arial"/>
          <w:sz w:val="21"/>
          <w:szCs w:val="21"/>
          <w:lang w:eastAsia="en-AU"/>
        </w:rPr>
        <w:t>had</w:t>
      </w:r>
      <w:r w:rsidRPr="00307385">
        <w:rPr>
          <w:rFonts w:ascii="Arial" w:eastAsia="Times New Roman" w:hAnsi="Arial" w:cs="Arial"/>
          <w:sz w:val="21"/>
          <w:szCs w:val="21"/>
          <w:lang w:eastAsia="en-AU"/>
        </w:rPr>
        <w:t xml:space="preserve"> </w:t>
      </w:r>
      <w:r w:rsidR="009C49E7" w:rsidRPr="00307385">
        <w:rPr>
          <w:rFonts w:ascii="Arial" w:eastAsia="Times New Roman" w:hAnsi="Arial" w:cs="Arial"/>
          <w:sz w:val="21"/>
          <w:szCs w:val="21"/>
          <w:lang w:eastAsia="en-AU"/>
        </w:rPr>
        <w:t xml:space="preserve">passed </w:t>
      </w:r>
      <w:r w:rsidRPr="00307385">
        <w:rPr>
          <w:rFonts w:ascii="Arial" w:eastAsia="Times New Roman" w:hAnsi="Arial" w:cs="Arial"/>
          <w:sz w:val="21"/>
          <w:szCs w:val="21"/>
          <w:lang w:eastAsia="en-AU"/>
        </w:rPr>
        <w:t xml:space="preserve">the five figure </w:t>
      </w:r>
      <w:proofErr w:type="gramStart"/>
      <w:r w:rsidRPr="00307385">
        <w:rPr>
          <w:rFonts w:ascii="Arial" w:eastAsia="Times New Roman" w:hAnsi="Arial" w:cs="Arial"/>
          <w:sz w:val="21"/>
          <w:szCs w:val="21"/>
          <w:lang w:eastAsia="en-AU"/>
        </w:rPr>
        <w:t xml:space="preserve">mark </w:t>
      </w:r>
      <w:r w:rsidR="00E66BE9" w:rsidRPr="00307385">
        <w:rPr>
          <w:rFonts w:ascii="Arial" w:eastAsia="Times New Roman" w:hAnsi="Arial" w:cs="Arial"/>
          <w:sz w:val="21"/>
          <w:szCs w:val="21"/>
          <w:lang w:eastAsia="en-AU"/>
        </w:rPr>
        <w:t xml:space="preserve"> by</w:t>
      </w:r>
      <w:proofErr w:type="gramEnd"/>
      <w:r w:rsidR="00E66BE9" w:rsidRPr="00307385">
        <w:rPr>
          <w:rFonts w:ascii="Arial" w:eastAsia="Times New Roman" w:hAnsi="Arial" w:cs="Arial"/>
          <w:sz w:val="21"/>
          <w:szCs w:val="21"/>
          <w:lang w:eastAsia="en-AU"/>
        </w:rPr>
        <w:t xml:space="preserve"> 17 June </w:t>
      </w:r>
      <w:r w:rsidRPr="00307385">
        <w:rPr>
          <w:rFonts w:ascii="Arial" w:eastAsia="Times New Roman" w:hAnsi="Arial" w:cs="Arial"/>
          <w:sz w:val="21"/>
          <w:szCs w:val="21"/>
          <w:lang w:eastAsia="en-AU"/>
        </w:rPr>
        <w:t xml:space="preserve">with 10,258 cases diagnosed. There was hope </w:t>
      </w:r>
      <w:r w:rsidR="009C49E7" w:rsidRPr="00307385">
        <w:rPr>
          <w:rFonts w:ascii="Arial" w:eastAsia="Times New Roman" w:hAnsi="Arial" w:cs="Arial"/>
          <w:sz w:val="21"/>
          <w:szCs w:val="21"/>
          <w:lang w:eastAsia="en-AU"/>
        </w:rPr>
        <w:t xml:space="preserve">then </w:t>
      </w:r>
      <w:r w:rsidRPr="00307385">
        <w:rPr>
          <w:rFonts w:ascii="Arial" w:eastAsia="Times New Roman" w:hAnsi="Arial" w:cs="Arial"/>
          <w:sz w:val="21"/>
          <w:szCs w:val="21"/>
          <w:lang w:eastAsia="en-AU"/>
        </w:rPr>
        <w:t>that the rate of new infection had plateaued.</w:t>
      </w:r>
      <w:r w:rsidR="00B839A9" w:rsidRPr="00307385">
        <w:rPr>
          <w:rFonts w:ascii="Arial" w:eastAsia="Times New Roman" w:hAnsi="Arial" w:cs="Arial"/>
          <w:sz w:val="21"/>
          <w:szCs w:val="21"/>
          <w:lang w:eastAsia="en-AU"/>
        </w:rPr>
        <w:t xml:space="preserve">  </w:t>
      </w:r>
    </w:p>
    <w:p w:rsidR="009C49E7" w:rsidRPr="00307385" w:rsidRDefault="00B839A9" w:rsidP="008331DF">
      <w:pPr>
        <w:pStyle w:val="ListParagraph"/>
        <w:numPr>
          <w:ilvl w:val="1"/>
          <w:numId w:val="29"/>
        </w:numPr>
        <w:spacing w:line="240" w:lineRule="auto"/>
        <w:rPr>
          <w:rFonts w:ascii="Arial" w:hAnsi="Arial" w:cs="Arial"/>
        </w:rPr>
      </w:pPr>
      <w:r w:rsidRPr="00307385">
        <w:rPr>
          <w:rFonts w:ascii="Arial" w:eastAsia="Times New Roman" w:hAnsi="Arial" w:cs="Arial"/>
        </w:rPr>
        <w:t>Thailand’s health ministry predicted the country would see</w:t>
      </w:r>
      <w:r w:rsidRPr="00307385">
        <w:rPr>
          <w:rFonts w:ascii="Arial" w:hAnsi="Arial" w:cs="Arial"/>
        </w:rPr>
        <w:t xml:space="preserve"> at least 100,000 dengue cases and more than 100 deaths</w:t>
      </w:r>
      <w:r w:rsidR="00E66BE9" w:rsidRPr="00307385">
        <w:rPr>
          <w:rFonts w:ascii="Arial" w:hAnsi="Arial" w:cs="Arial"/>
        </w:rPr>
        <w:t xml:space="preserve"> this year</w:t>
      </w:r>
      <w:r w:rsidRPr="00307385">
        <w:rPr>
          <w:rFonts w:ascii="Arial" w:hAnsi="Arial" w:cs="Arial"/>
        </w:rPr>
        <w:t>, a three-fold increase from</w:t>
      </w:r>
      <w:r w:rsidR="00E66BE9" w:rsidRPr="00307385">
        <w:rPr>
          <w:rFonts w:ascii="Arial" w:hAnsi="Arial" w:cs="Arial"/>
        </w:rPr>
        <w:t xml:space="preserve"> 2012</w:t>
      </w:r>
      <w:r w:rsidRPr="00307385">
        <w:rPr>
          <w:rFonts w:ascii="Arial" w:hAnsi="Arial" w:cs="Arial"/>
        </w:rPr>
        <w:t xml:space="preserve">. </w:t>
      </w:r>
    </w:p>
    <w:p w:rsidR="0058699C" w:rsidRPr="00307385" w:rsidRDefault="0058699C" w:rsidP="00B839A9">
      <w:pPr>
        <w:pStyle w:val="ListParagraph"/>
        <w:numPr>
          <w:ilvl w:val="1"/>
          <w:numId w:val="29"/>
        </w:numPr>
        <w:spacing w:line="240" w:lineRule="auto"/>
        <w:rPr>
          <w:rFonts w:ascii="Arial" w:hAnsi="Arial" w:cs="Arial"/>
        </w:rPr>
      </w:pPr>
      <w:r w:rsidRPr="00307385">
        <w:rPr>
          <w:rFonts w:ascii="Arial" w:eastAsia="Times New Roman" w:hAnsi="Arial" w:cs="Arial"/>
          <w:sz w:val="21"/>
          <w:szCs w:val="21"/>
          <w:lang w:eastAsia="en-AU"/>
        </w:rPr>
        <w:t>In early June, health authorities said unseasonal wet weather may be prolonging the dengue outbreak in Cairns.</w:t>
      </w:r>
      <w:r w:rsidR="00C27973" w:rsidRPr="00307385">
        <w:rPr>
          <w:rFonts w:ascii="Arial" w:eastAsia="Times New Roman" w:hAnsi="Arial" w:cs="Arial"/>
          <w:sz w:val="21"/>
          <w:szCs w:val="21"/>
          <w:lang w:eastAsia="en-AU"/>
        </w:rPr>
        <w:t xml:space="preserve">  By 26 June there had been 170 cases in the Cairns region.</w:t>
      </w:r>
    </w:p>
    <w:p w:rsidR="00E37632" w:rsidRPr="00307385" w:rsidRDefault="009C49E7" w:rsidP="00E37632">
      <w:pPr>
        <w:pStyle w:val="ListParagraph"/>
        <w:numPr>
          <w:ilvl w:val="1"/>
          <w:numId w:val="29"/>
        </w:numPr>
        <w:spacing w:line="240" w:lineRule="auto"/>
        <w:rPr>
          <w:rFonts w:ascii="Arial" w:hAnsi="Arial" w:cs="Arial"/>
        </w:rPr>
      </w:pPr>
      <w:proofErr w:type="spellStart"/>
      <w:r w:rsidRPr="00307385">
        <w:rPr>
          <w:rFonts w:ascii="Arial" w:hAnsi="Arial" w:cs="Arial"/>
        </w:rPr>
        <w:t>NanoViricides</w:t>
      </w:r>
      <w:proofErr w:type="spellEnd"/>
      <w:r w:rsidRPr="00307385">
        <w:rPr>
          <w:rFonts w:ascii="Arial" w:hAnsi="Arial" w:cs="Arial"/>
        </w:rPr>
        <w:t xml:space="preserve"> filed an Orphan Drug Application to the FDA for </w:t>
      </w:r>
      <w:proofErr w:type="spellStart"/>
      <w:r w:rsidRPr="00307385">
        <w:rPr>
          <w:rFonts w:ascii="Arial" w:hAnsi="Arial" w:cs="Arial"/>
        </w:rPr>
        <w:t>DengueCide</w:t>
      </w:r>
      <w:proofErr w:type="spellEnd"/>
      <w:r w:rsidRPr="00307385">
        <w:rPr>
          <w:rFonts w:ascii="Arial" w:hAnsi="Arial" w:cs="Arial"/>
        </w:rPr>
        <w:t xml:space="preserve">, a drug candidate for the treatment of </w:t>
      </w:r>
      <w:hyperlink r:id="rId16" w:tgtFrame="_self" w:history="1">
        <w:r w:rsidRPr="00307385">
          <w:rPr>
            <w:rStyle w:val="Hyperlink"/>
            <w:rFonts w:ascii="Arial" w:hAnsi="Arial" w:cs="Arial"/>
            <w:color w:val="auto"/>
            <w:u w:val="none"/>
          </w:rPr>
          <w:t>dengue</w:t>
        </w:r>
      </w:hyperlink>
      <w:r w:rsidRPr="00307385">
        <w:rPr>
          <w:rFonts w:ascii="Arial" w:hAnsi="Arial" w:cs="Arial"/>
        </w:rPr>
        <w:t xml:space="preserve"> and dengue haemorrhagic fever. </w:t>
      </w:r>
    </w:p>
    <w:p w:rsidR="002B6CE7" w:rsidRDefault="00E1469E" w:rsidP="00B839A9">
      <w:pPr>
        <w:pStyle w:val="ListParagraph"/>
        <w:numPr>
          <w:ilvl w:val="1"/>
          <w:numId w:val="29"/>
        </w:numPr>
        <w:spacing w:line="240" w:lineRule="auto"/>
        <w:rPr>
          <w:rFonts w:ascii="Arial" w:hAnsi="Arial" w:cs="Arial"/>
        </w:rPr>
      </w:pPr>
      <w:r>
        <w:rPr>
          <w:rFonts w:ascii="Arial" w:hAnsi="Arial" w:cs="Arial"/>
        </w:rPr>
        <w:t xml:space="preserve">By 26 June, 11 people in Queensland had been diagnosed with </w:t>
      </w:r>
      <w:proofErr w:type="spellStart"/>
      <w:r>
        <w:rPr>
          <w:rFonts w:ascii="Arial" w:hAnsi="Arial" w:cs="Arial"/>
        </w:rPr>
        <w:t>Chikungunya</w:t>
      </w:r>
      <w:proofErr w:type="spellEnd"/>
      <w:r>
        <w:rPr>
          <w:rFonts w:ascii="Arial" w:hAnsi="Arial" w:cs="Arial"/>
        </w:rPr>
        <w:t xml:space="preserve">, </w:t>
      </w:r>
      <w:r w:rsidR="00723D69">
        <w:rPr>
          <w:rFonts w:ascii="Arial" w:hAnsi="Arial" w:cs="Arial"/>
        </w:rPr>
        <w:t>ten of them contracting it in P</w:t>
      </w:r>
      <w:r>
        <w:rPr>
          <w:rFonts w:ascii="Arial" w:hAnsi="Arial" w:cs="Arial"/>
        </w:rPr>
        <w:t xml:space="preserve">apua New Guinea and the eleventh in Indonesia.  Because Queensland has mosquitoes that can transmit the disease, Tropical Public Health Services Director </w:t>
      </w:r>
      <w:r w:rsidR="00C27973">
        <w:rPr>
          <w:rFonts w:ascii="Arial" w:hAnsi="Arial" w:cs="Arial"/>
        </w:rPr>
        <w:t xml:space="preserve">Dr Richard </w:t>
      </w:r>
      <w:proofErr w:type="spellStart"/>
      <w:r w:rsidR="00C27973">
        <w:rPr>
          <w:rFonts w:ascii="Arial" w:hAnsi="Arial" w:cs="Arial"/>
        </w:rPr>
        <w:t>Gair</w:t>
      </w:r>
      <w:proofErr w:type="spellEnd"/>
      <w:r w:rsidR="00C27973">
        <w:rPr>
          <w:rFonts w:ascii="Arial" w:hAnsi="Arial" w:cs="Arial"/>
        </w:rPr>
        <w:t xml:space="preserve"> said “Every import is a potential outbreak”.</w:t>
      </w:r>
    </w:p>
    <w:p w:rsidR="007C6F24" w:rsidRDefault="007C6F24" w:rsidP="009C7F66">
      <w:pPr>
        <w:pStyle w:val="ListParagraph"/>
        <w:numPr>
          <w:ilvl w:val="1"/>
          <w:numId w:val="29"/>
        </w:numPr>
        <w:spacing w:after="0" w:line="240" w:lineRule="auto"/>
        <w:rPr>
          <w:rFonts w:ascii="Arial" w:hAnsi="Arial" w:cs="Arial"/>
        </w:rPr>
      </w:pPr>
      <w:r>
        <w:rPr>
          <w:rFonts w:ascii="Arial" w:hAnsi="Arial" w:cs="Arial"/>
        </w:rPr>
        <w:lastRenderedPageBreak/>
        <w:t>An Australian team says its experimental malaria vaccine protected mice against several strains of the disease.  The vaccine caused existing white blood cells,</w:t>
      </w:r>
      <w:r w:rsidR="00E66BE9">
        <w:rPr>
          <w:rFonts w:ascii="Arial" w:hAnsi="Arial" w:cs="Arial"/>
        </w:rPr>
        <w:t xml:space="preserve"> </w:t>
      </w:r>
      <w:r>
        <w:rPr>
          <w:rFonts w:ascii="Arial" w:hAnsi="Arial" w:cs="Arial"/>
        </w:rPr>
        <w:t>or T-cells, to attack the malaria parasite inhabiting red blood cells</w:t>
      </w:r>
      <w:r>
        <w:rPr>
          <w:rStyle w:val="FootnoteReference"/>
          <w:rFonts w:ascii="Arial" w:hAnsi="Arial" w:cs="Arial"/>
        </w:rPr>
        <w:footnoteReference w:id="34"/>
      </w:r>
      <w:r>
        <w:rPr>
          <w:rFonts w:ascii="Arial" w:hAnsi="Arial" w:cs="Arial"/>
        </w:rPr>
        <w:t>.</w:t>
      </w:r>
    </w:p>
    <w:p w:rsidR="00C8156E" w:rsidRPr="00DE2146" w:rsidRDefault="00C8156E" w:rsidP="00C8156E">
      <w:pPr>
        <w:pStyle w:val="ListParagraph"/>
        <w:spacing w:after="0" w:line="240" w:lineRule="auto"/>
        <w:ind w:left="644"/>
        <w:rPr>
          <w:rFonts w:ascii="Arial" w:hAnsi="Arial" w:cs="Arial"/>
        </w:rPr>
      </w:pPr>
    </w:p>
    <w:p w:rsidR="001A20BD" w:rsidRDefault="001A20BD" w:rsidP="009C7F66">
      <w:pPr>
        <w:pStyle w:val="Heading3"/>
        <w:spacing w:before="0"/>
      </w:pPr>
      <w:bookmarkStart w:id="23" w:name="_Toc362333802"/>
      <w:r>
        <w:t>Influenza</w:t>
      </w:r>
      <w:r w:rsidR="0012223A">
        <w:t>: strains, spread, prevention</w:t>
      </w:r>
      <w:r w:rsidR="00C8156E">
        <w:t xml:space="preserve"> and treatment</w:t>
      </w:r>
      <w:bookmarkEnd w:id="23"/>
    </w:p>
    <w:p w:rsidR="001F430A" w:rsidRPr="00307385" w:rsidRDefault="00EC74F9" w:rsidP="001F430A">
      <w:pPr>
        <w:pStyle w:val="ListParagraph"/>
        <w:numPr>
          <w:ilvl w:val="1"/>
          <w:numId w:val="29"/>
        </w:numPr>
        <w:spacing w:line="240" w:lineRule="auto"/>
        <w:rPr>
          <w:rFonts w:ascii="Arial" w:eastAsia="Times New Roman" w:hAnsi="Arial" w:cs="Arial"/>
        </w:rPr>
      </w:pPr>
      <w:r w:rsidRPr="00307385">
        <w:rPr>
          <w:rFonts w:ascii="Arial" w:hAnsi="Arial" w:cs="Arial"/>
        </w:rPr>
        <w:t xml:space="preserve">The World Health Organisation (WHO) has redefined what constitutes </w:t>
      </w:r>
      <w:proofErr w:type="gramStart"/>
      <w:r w:rsidRPr="00307385">
        <w:rPr>
          <w:rFonts w:ascii="Arial" w:hAnsi="Arial" w:cs="Arial"/>
        </w:rPr>
        <w:t>a flu</w:t>
      </w:r>
      <w:proofErr w:type="gramEnd"/>
      <w:r w:rsidRPr="00307385">
        <w:rPr>
          <w:rFonts w:ascii="Arial" w:hAnsi="Arial" w:cs="Arial"/>
        </w:rPr>
        <w:t xml:space="preserve"> pandemic to emphasise the risk it poses instead of its geographic spread.  The definition is now “a period of global spread of human influenza caused by a new subtype”.  The new system uses four phases -- </w:t>
      </w:r>
      <w:proofErr w:type="spellStart"/>
      <w:r w:rsidRPr="00307385">
        <w:rPr>
          <w:rFonts w:ascii="Arial" w:hAnsi="Arial" w:cs="Arial"/>
        </w:rPr>
        <w:t>interpandemic</w:t>
      </w:r>
      <w:proofErr w:type="spellEnd"/>
      <w:r w:rsidRPr="00307385">
        <w:rPr>
          <w:rFonts w:ascii="Arial" w:hAnsi="Arial" w:cs="Arial"/>
        </w:rPr>
        <w:t>, alert, pandemic and transition -- to describe the spread.  WHO currently considers the world is at the "alert" level when it comes to both the H5N1 and H7N1 bird flus.</w:t>
      </w:r>
    </w:p>
    <w:p w:rsidR="001F430A" w:rsidRPr="001F430A" w:rsidRDefault="001F430A" w:rsidP="001F430A">
      <w:pPr>
        <w:pStyle w:val="ListParagraph"/>
        <w:numPr>
          <w:ilvl w:val="1"/>
          <w:numId w:val="29"/>
        </w:numPr>
        <w:spacing w:line="240" w:lineRule="auto"/>
        <w:rPr>
          <w:rFonts w:ascii="Arial" w:eastAsia="Times New Roman" w:hAnsi="Arial" w:cs="Arial"/>
          <w:color w:val="7030A0"/>
        </w:rPr>
      </w:pPr>
      <w:r w:rsidRPr="001F430A">
        <w:rPr>
          <w:rFonts w:ascii="Arial" w:hAnsi="Arial" w:cs="Arial"/>
          <w:color w:val="000000"/>
        </w:rPr>
        <w:t>At 7 July, WHO had been informed of a total of 133 laboratory-confirmed cases of H7N9, including 43 deaths.</w:t>
      </w:r>
      <w:r w:rsidR="00CE2DEF">
        <w:rPr>
          <w:rFonts w:ascii="Arial" w:hAnsi="Arial" w:cs="Arial"/>
          <w:color w:val="000000"/>
        </w:rPr>
        <w:t xml:space="preserve"> </w:t>
      </w:r>
      <w:r w:rsidR="00BE010E" w:rsidRPr="001F430A">
        <w:rPr>
          <w:rFonts w:ascii="Arial" w:eastAsia="Times New Roman" w:hAnsi="Arial" w:cs="Arial"/>
        </w:rPr>
        <w:t>Chinese researchers have warned that the virus could re-emerge later this year</w:t>
      </w:r>
      <w:r w:rsidR="00BE010E">
        <w:rPr>
          <w:rStyle w:val="FootnoteReference"/>
          <w:rFonts w:ascii="Arial" w:eastAsia="Times New Roman" w:hAnsi="Arial" w:cs="Arial"/>
        </w:rPr>
        <w:footnoteReference w:id="35"/>
      </w:r>
      <w:r w:rsidR="00BE010E" w:rsidRPr="001F430A">
        <w:rPr>
          <w:rFonts w:ascii="Arial" w:eastAsia="Times New Roman" w:hAnsi="Arial" w:cs="Arial"/>
        </w:rPr>
        <w:t>.</w:t>
      </w:r>
      <w:r w:rsidR="0057147C" w:rsidRPr="001F430A">
        <w:rPr>
          <w:rFonts w:ascii="Arial" w:eastAsia="Times New Roman" w:hAnsi="Arial" w:cs="Arial"/>
        </w:rPr>
        <w:t xml:space="preserve"> </w:t>
      </w:r>
      <w:r w:rsidR="00CE2DEF">
        <w:rPr>
          <w:rFonts w:ascii="Arial" w:eastAsia="Times New Roman" w:hAnsi="Arial" w:cs="Arial"/>
        </w:rPr>
        <w:t>Some live poultry markets closed when th</w:t>
      </w:r>
      <w:r w:rsidR="00E66BE9">
        <w:rPr>
          <w:rFonts w:ascii="Arial" w:eastAsia="Times New Roman" w:hAnsi="Arial" w:cs="Arial"/>
        </w:rPr>
        <w:t>e disease emerged have now re-</w:t>
      </w:r>
      <w:r w:rsidR="00CE2DEF">
        <w:rPr>
          <w:rFonts w:ascii="Arial" w:eastAsia="Times New Roman" w:hAnsi="Arial" w:cs="Arial"/>
        </w:rPr>
        <w:t>opened.</w:t>
      </w:r>
    </w:p>
    <w:p w:rsidR="001F430A" w:rsidRDefault="001F430A" w:rsidP="001F430A">
      <w:pPr>
        <w:pStyle w:val="ListParagraph"/>
        <w:numPr>
          <w:ilvl w:val="1"/>
          <w:numId w:val="29"/>
        </w:numPr>
        <w:spacing w:line="240" w:lineRule="auto"/>
        <w:rPr>
          <w:rFonts w:ascii="Arial" w:eastAsia="Times New Roman" w:hAnsi="Arial" w:cs="Arial"/>
        </w:rPr>
      </w:pPr>
      <w:r w:rsidRPr="001F430A">
        <w:rPr>
          <w:rFonts w:ascii="Arial" w:eastAsia="Times New Roman" w:hAnsi="Arial" w:cs="Arial"/>
        </w:rPr>
        <w:t xml:space="preserve">Chinese health officials have found co-infection of H7N9 and H3N2, and recognise co-infection as a possible source of </w:t>
      </w:r>
      <w:proofErr w:type="spellStart"/>
      <w:r w:rsidRPr="001F430A">
        <w:rPr>
          <w:rFonts w:ascii="Arial" w:eastAsia="Times New Roman" w:hAnsi="Arial" w:cs="Arial"/>
        </w:rPr>
        <w:t>reassortment</w:t>
      </w:r>
      <w:proofErr w:type="spellEnd"/>
      <w:r w:rsidRPr="001F430A">
        <w:rPr>
          <w:rFonts w:ascii="Arial" w:eastAsia="Times New Roman" w:hAnsi="Arial" w:cs="Arial"/>
        </w:rPr>
        <w:t xml:space="preserve"> of the virus.</w:t>
      </w:r>
    </w:p>
    <w:p w:rsidR="001F430A" w:rsidRPr="00031417" w:rsidRDefault="001F430A" w:rsidP="001F430A">
      <w:pPr>
        <w:pStyle w:val="ListParagraph"/>
        <w:numPr>
          <w:ilvl w:val="1"/>
          <w:numId w:val="29"/>
        </w:numPr>
        <w:spacing w:line="240" w:lineRule="auto"/>
        <w:rPr>
          <w:rFonts w:ascii="Arial" w:eastAsia="Times New Roman" w:hAnsi="Arial" w:cs="Arial"/>
          <w:i/>
        </w:rPr>
      </w:pPr>
      <w:r>
        <w:rPr>
          <w:rFonts w:ascii="Arial" w:eastAsia="Times New Roman" w:hAnsi="Arial" w:cs="Arial"/>
        </w:rPr>
        <w:t xml:space="preserve">A study published in the journal </w:t>
      </w:r>
      <w:r w:rsidRPr="001F430A">
        <w:rPr>
          <w:rFonts w:ascii="Arial" w:eastAsia="Times New Roman" w:hAnsi="Arial" w:cs="Arial"/>
          <w:i/>
        </w:rPr>
        <w:t>Radiology</w:t>
      </w:r>
      <w:r>
        <w:rPr>
          <w:rFonts w:ascii="Arial" w:eastAsia="Times New Roman" w:hAnsi="Arial" w:cs="Arial"/>
          <w:i/>
        </w:rPr>
        <w:t xml:space="preserve"> </w:t>
      </w:r>
      <w:r w:rsidRPr="000520E2">
        <w:rPr>
          <w:rFonts w:ascii="Arial" w:hAnsi="Arial" w:cs="Arial"/>
          <w:color w:val="000000"/>
        </w:rPr>
        <w:t>show</w:t>
      </w:r>
      <w:r>
        <w:rPr>
          <w:rFonts w:ascii="Arial" w:hAnsi="Arial" w:cs="Arial"/>
          <w:color w:val="000000"/>
        </w:rPr>
        <w:t>s</w:t>
      </w:r>
      <w:r w:rsidRPr="000520E2">
        <w:rPr>
          <w:rFonts w:ascii="Arial" w:hAnsi="Arial" w:cs="Arial"/>
          <w:color w:val="000000"/>
        </w:rPr>
        <w:t xml:space="preserve"> how the H7N9 virus </w:t>
      </w:r>
      <w:r>
        <w:rPr>
          <w:rFonts w:ascii="Arial" w:hAnsi="Arial" w:cs="Arial"/>
          <w:color w:val="000000"/>
        </w:rPr>
        <w:t xml:space="preserve">differs from </w:t>
      </w:r>
      <w:r w:rsidR="00E66BE9">
        <w:rPr>
          <w:rFonts w:ascii="Arial" w:hAnsi="Arial" w:cs="Arial"/>
          <w:color w:val="000000"/>
        </w:rPr>
        <w:t>pneumonia</w:t>
      </w:r>
      <w:r w:rsidRPr="000520E2">
        <w:rPr>
          <w:rFonts w:ascii="Arial" w:hAnsi="Arial" w:cs="Arial"/>
          <w:color w:val="000000"/>
        </w:rPr>
        <w:t xml:space="preserve"> in the way it </w:t>
      </w:r>
      <w:r>
        <w:rPr>
          <w:rFonts w:ascii="Arial" w:hAnsi="Arial" w:cs="Arial"/>
          <w:color w:val="000000"/>
        </w:rPr>
        <w:t xml:space="preserve">rapidly </w:t>
      </w:r>
      <w:r w:rsidRPr="000520E2">
        <w:rPr>
          <w:rFonts w:ascii="Arial" w:hAnsi="Arial" w:cs="Arial"/>
          <w:color w:val="000000"/>
        </w:rPr>
        <w:t>and progressively changes in the lungs and pulmonary connective tissues.</w:t>
      </w:r>
    </w:p>
    <w:p w:rsidR="00031417" w:rsidRPr="001F430A" w:rsidRDefault="00031417" w:rsidP="00452BC5">
      <w:pPr>
        <w:pStyle w:val="ListParagraph"/>
        <w:numPr>
          <w:ilvl w:val="1"/>
          <w:numId w:val="29"/>
        </w:numPr>
        <w:spacing w:line="240" w:lineRule="auto"/>
        <w:rPr>
          <w:rFonts w:ascii="Arial" w:eastAsia="Times New Roman" w:hAnsi="Arial" w:cs="Arial"/>
          <w:i/>
        </w:rPr>
      </w:pPr>
      <w:r>
        <w:rPr>
          <w:rFonts w:ascii="Arial" w:eastAsia="Times New Roman" w:hAnsi="Arial" w:cs="Arial"/>
        </w:rPr>
        <w:t xml:space="preserve">Swiss firm </w:t>
      </w:r>
      <w:proofErr w:type="spellStart"/>
      <w:r>
        <w:rPr>
          <w:rFonts w:ascii="Arial" w:eastAsia="Times New Roman" w:hAnsi="Arial" w:cs="Arial"/>
        </w:rPr>
        <w:t>Viroblock</w:t>
      </w:r>
      <w:proofErr w:type="spellEnd"/>
      <w:r>
        <w:rPr>
          <w:rFonts w:ascii="Arial" w:eastAsia="Times New Roman" w:hAnsi="Arial" w:cs="Arial"/>
        </w:rPr>
        <w:t xml:space="preserve"> has developed a face mask</w:t>
      </w:r>
      <w:r w:rsidR="006B401F">
        <w:rPr>
          <w:rFonts w:ascii="Arial" w:eastAsia="Times New Roman" w:hAnsi="Arial" w:cs="Arial"/>
        </w:rPr>
        <w:t xml:space="preserve"> </w:t>
      </w:r>
      <w:r>
        <w:rPr>
          <w:rFonts w:ascii="Arial" w:eastAsia="Times New Roman" w:hAnsi="Arial" w:cs="Arial"/>
        </w:rPr>
        <w:t xml:space="preserve">incorporating technology which it claims will trap and kill over 99 per cent of H1N1 and H5N1 flu </w:t>
      </w:r>
      <w:proofErr w:type="spellStart"/>
      <w:r>
        <w:rPr>
          <w:rFonts w:ascii="Arial" w:eastAsia="Times New Roman" w:hAnsi="Arial" w:cs="Arial"/>
        </w:rPr>
        <w:t>vruses</w:t>
      </w:r>
      <w:proofErr w:type="spellEnd"/>
      <w:r>
        <w:rPr>
          <w:rFonts w:ascii="Arial" w:eastAsia="Times New Roman" w:hAnsi="Arial" w:cs="Arial"/>
        </w:rPr>
        <w:t xml:space="preserve"> and a similar percentage of aer</w:t>
      </w:r>
      <w:r w:rsidR="00E66BE9">
        <w:rPr>
          <w:rFonts w:ascii="Arial" w:eastAsia="Times New Roman" w:hAnsi="Arial" w:cs="Arial"/>
        </w:rPr>
        <w:t xml:space="preserve">obic human corona viruses.  </w:t>
      </w:r>
    </w:p>
    <w:p w:rsidR="00E1469E" w:rsidRPr="00307385" w:rsidRDefault="00E1469E" w:rsidP="00DD5007">
      <w:pPr>
        <w:pStyle w:val="ListParagraph"/>
        <w:numPr>
          <w:ilvl w:val="1"/>
          <w:numId w:val="29"/>
        </w:numPr>
        <w:spacing w:line="240" w:lineRule="auto"/>
        <w:rPr>
          <w:rFonts w:ascii="Arial" w:eastAsia="Times New Roman" w:hAnsi="Arial" w:cs="Arial"/>
        </w:rPr>
      </w:pPr>
      <w:proofErr w:type="spellStart"/>
      <w:r w:rsidRPr="00307385">
        <w:rPr>
          <w:rFonts w:ascii="Arial" w:eastAsia="Times New Roman" w:hAnsi="Arial" w:cs="Arial"/>
        </w:rPr>
        <w:t>Vaxart</w:t>
      </w:r>
      <w:proofErr w:type="spellEnd"/>
      <w:r w:rsidRPr="00307385">
        <w:rPr>
          <w:rFonts w:ascii="Arial" w:eastAsia="Times New Roman" w:hAnsi="Arial" w:cs="Arial"/>
        </w:rPr>
        <w:t xml:space="preserve"> </w:t>
      </w:r>
      <w:r w:rsidR="00DB7DED" w:rsidRPr="00307385">
        <w:rPr>
          <w:rFonts w:ascii="Arial" w:eastAsia="Times New Roman" w:hAnsi="Arial" w:cs="Arial"/>
        </w:rPr>
        <w:t>took twenty</w:t>
      </w:r>
      <w:r w:rsidRPr="00307385">
        <w:rPr>
          <w:rFonts w:ascii="Arial" w:eastAsia="Times New Roman" w:hAnsi="Arial" w:cs="Arial"/>
        </w:rPr>
        <w:t xml:space="preserve"> days to develop a recombinant oral H7N9 vaccine which was successful in preclinical testing.</w:t>
      </w:r>
      <w:r w:rsidR="00031417" w:rsidRPr="00307385">
        <w:rPr>
          <w:rFonts w:ascii="Arial" w:eastAsia="Times New Roman" w:hAnsi="Arial" w:cs="Arial"/>
        </w:rPr>
        <w:t xml:space="preserve">  </w:t>
      </w:r>
      <w:r w:rsidR="000A0558" w:rsidRPr="00307385">
        <w:rPr>
          <w:rFonts w:ascii="Arial" w:eastAsia="Times New Roman" w:hAnsi="Arial" w:cs="Arial"/>
        </w:rPr>
        <w:t>Tai</w:t>
      </w:r>
      <w:r w:rsidR="00031417" w:rsidRPr="00307385">
        <w:rPr>
          <w:rFonts w:ascii="Arial" w:eastAsia="Times New Roman" w:hAnsi="Arial" w:cs="Arial"/>
        </w:rPr>
        <w:t xml:space="preserve">wan vaccine provider </w:t>
      </w:r>
      <w:proofErr w:type="spellStart"/>
      <w:r w:rsidR="00031417" w:rsidRPr="00307385">
        <w:rPr>
          <w:rFonts w:ascii="Arial" w:eastAsia="Times New Roman" w:hAnsi="Arial" w:cs="Arial"/>
        </w:rPr>
        <w:t>Adimmune</w:t>
      </w:r>
      <w:r w:rsidR="00DB7DED" w:rsidRPr="00307385">
        <w:rPr>
          <w:rFonts w:ascii="Arial" w:eastAsia="Times New Roman" w:hAnsi="Arial" w:cs="Arial"/>
        </w:rPr>
        <w:t>’s</w:t>
      </w:r>
      <w:proofErr w:type="spellEnd"/>
      <w:r w:rsidR="00031417" w:rsidRPr="00307385">
        <w:rPr>
          <w:rFonts w:ascii="Arial" w:eastAsia="Times New Roman" w:hAnsi="Arial" w:cs="Arial"/>
        </w:rPr>
        <w:t xml:space="preserve"> H7N9 vaccine developed from a WHO- approved virus strain passed its Phase III clinical trial.</w:t>
      </w:r>
    </w:p>
    <w:p w:rsidR="00DD5007" w:rsidRPr="00307385" w:rsidRDefault="00DD5007" w:rsidP="008331DF">
      <w:pPr>
        <w:pStyle w:val="ListParagraph"/>
        <w:numPr>
          <w:ilvl w:val="1"/>
          <w:numId w:val="29"/>
        </w:numPr>
        <w:spacing w:line="240" w:lineRule="auto"/>
        <w:rPr>
          <w:rFonts w:ascii="Arial" w:eastAsia="Times New Roman" w:hAnsi="Arial" w:cs="Arial"/>
        </w:rPr>
      </w:pPr>
      <w:r w:rsidRPr="00307385">
        <w:rPr>
          <w:rFonts w:ascii="Arial" w:hAnsi="Arial" w:cs="Arial"/>
        </w:rPr>
        <w:t xml:space="preserve">By 2 June Australia had already seen the second-highest number of flu cases for this time of year recorded in a decade, reported Ian Barr, the deputy director of the Australian World Health Organisation Collaborating Centre for Reference and Research on Influenza.  The national register of laboratory-confirmed flu cases had identified 3379 infections, compared with just over 3000 at the same time last year.  Infections are being driven by the H1N1 swine flu virus. </w:t>
      </w:r>
    </w:p>
    <w:p w:rsidR="00347DAD" w:rsidRPr="00307385" w:rsidRDefault="00327922" w:rsidP="00347DAD">
      <w:pPr>
        <w:pStyle w:val="ListParagraph"/>
        <w:numPr>
          <w:ilvl w:val="1"/>
          <w:numId w:val="29"/>
        </w:numPr>
        <w:spacing w:line="240" w:lineRule="auto"/>
        <w:rPr>
          <w:rFonts w:ascii="Arial" w:eastAsia="Times New Roman" w:hAnsi="Arial" w:cs="Arial"/>
        </w:rPr>
      </w:pPr>
      <w:r w:rsidRPr="00307385">
        <w:rPr>
          <w:rFonts w:ascii="Arial" w:hAnsi="Arial" w:cs="Arial"/>
        </w:rPr>
        <w:t xml:space="preserve">For the 2013-2014 influenza </w:t>
      </w:r>
      <w:proofErr w:type="gramStart"/>
      <w:r w:rsidRPr="00307385">
        <w:rPr>
          <w:rFonts w:ascii="Arial" w:hAnsi="Arial" w:cs="Arial"/>
        </w:rPr>
        <w:t>season</w:t>
      </w:r>
      <w:proofErr w:type="gramEnd"/>
      <w:r w:rsidRPr="00307385">
        <w:rPr>
          <w:rFonts w:ascii="Arial" w:hAnsi="Arial" w:cs="Arial"/>
        </w:rPr>
        <w:t xml:space="preserve"> in the US vaccines will contain two A and two B strains.  The FDA has now approved </w:t>
      </w:r>
      <w:proofErr w:type="spellStart"/>
      <w:r w:rsidRPr="00307385">
        <w:rPr>
          <w:rFonts w:ascii="Arial" w:hAnsi="Arial" w:cs="Arial"/>
        </w:rPr>
        <w:t>Sanofi’s</w:t>
      </w:r>
      <w:proofErr w:type="spellEnd"/>
      <w:r w:rsidRPr="00307385">
        <w:rPr>
          <w:rFonts w:ascii="Arial" w:hAnsi="Arial" w:cs="Arial"/>
        </w:rPr>
        <w:t xml:space="preserve"> 4-in-1 influenza vaccine </w:t>
      </w:r>
      <w:proofErr w:type="spellStart"/>
      <w:r w:rsidRPr="00307385">
        <w:rPr>
          <w:rFonts w:ascii="Arial" w:hAnsi="Arial" w:cs="Arial"/>
        </w:rPr>
        <w:t>Fluzone</w:t>
      </w:r>
      <w:proofErr w:type="spellEnd"/>
      <w:r w:rsidRPr="00307385">
        <w:rPr>
          <w:rFonts w:ascii="Arial" w:hAnsi="Arial" w:cs="Arial"/>
        </w:rPr>
        <w:t xml:space="preserve"> </w:t>
      </w:r>
      <w:proofErr w:type="spellStart"/>
      <w:r w:rsidRPr="00307385">
        <w:rPr>
          <w:rFonts w:ascii="Arial" w:hAnsi="Arial" w:cs="Arial"/>
        </w:rPr>
        <w:t>Quadrivalent</w:t>
      </w:r>
      <w:proofErr w:type="spellEnd"/>
      <w:r w:rsidRPr="00307385">
        <w:rPr>
          <w:rFonts w:ascii="Arial" w:hAnsi="Arial" w:cs="Arial"/>
        </w:rPr>
        <w:t>, which is approved for children 6 months and older,</w:t>
      </w:r>
      <w:r w:rsidR="000A0558" w:rsidRPr="00307385">
        <w:rPr>
          <w:rFonts w:ascii="Arial" w:hAnsi="Arial" w:cs="Arial"/>
        </w:rPr>
        <w:t xml:space="preserve"> </w:t>
      </w:r>
      <w:r w:rsidRPr="00307385">
        <w:rPr>
          <w:rFonts w:ascii="Arial" w:hAnsi="Arial" w:cs="Arial"/>
        </w:rPr>
        <w:t>for adolescents and for adults</w:t>
      </w:r>
      <w:r w:rsidR="000A0558" w:rsidRPr="00307385">
        <w:rPr>
          <w:rFonts w:ascii="Arial" w:hAnsi="Arial" w:cs="Arial"/>
        </w:rPr>
        <w:t>.</w:t>
      </w:r>
      <w:r w:rsidRPr="00307385">
        <w:rPr>
          <w:rFonts w:ascii="Arial" w:hAnsi="Arial" w:cs="Arial"/>
        </w:rPr>
        <w:t xml:space="preserve"> It joins two other </w:t>
      </w:r>
      <w:proofErr w:type="spellStart"/>
      <w:r w:rsidRPr="00307385">
        <w:rPr>
          <w:rFonts w:ascii="Arial" w:hAnsi="Arial" w:cs="Arial"/>
        </w:rPr>
        <w:t>quadrival</w:t>
      </w:r>
      <w:r w:rsidR="000A0558" w:rsidRPr="00307385">
        <w:rPr>
          <w:rFonts w:ascii="Arial" w:hAnsi="Arial" w:cs="Arial"/>
        </w:rPr>
        <w:t>ent</w:t>
      </w:r>
      <w:proofErr w:type="spellEnd"/>
      <w:r w:rsidR="000A0558" w:rsidRPr="00307385">
        <w:rPr>
          <w:rFonts w:ascii="Arial" w:hAnsi="Arial" w:cs="Arial"/>
        </w:rPr>
        <w:t xml:space="preserve"> vaccines already approved, </w:t>
      </w:r>
      <w:r w:rsidRPr="00307385">
        <w:rPr>
          <w:rFonts w:ascii="Arial" w:hAnsi="Arial" w:cs="Arial"/>
        </w:rPr>
        <w:t xml:space="preserve">GlaxoSmithKline's </w:t>
      </w:r>
      <w:proofErr w:type="spellStart"/>
      <w:r w:rsidRPr="00307385">
        <w:rPr>
          <w:rFonts w:ascii="Arial" w:hAnsi="Arial" w:cs="Arial"/>
        </w:rPr>
        <w:t>Fluarix</w:t>
      </w:r>
      <w:proofErr w:type="spellEnd"/>
      <w:r w:rsidRPr="00307385">
        <w:rPr>
          <w:rFonts w:ascii="Arial" w:hAnsi="Arial" w:cs="Arial"/>
        </w:rPr>
        <w:t xml:space="preserve"> </w:t>
      </w:r>
      <w:proofErr w:type="spellStart"/>
      <w:r w:rsidRPr="00307385">
        <w:rPr>
          <w:rFonts w:ascii="Arial" w:hAnsi="Arial" w:cs="Arial"/>
        </w:rPr>
        <w:t>Quadrivalent</w:t>
      </w:r>
      <w:proofErr w:type="spellEnd"/>
      <w:r w:rsidRPr="00307385">
        <w:rPr>
          <w:rFonts w:ascii="Arial" w:hAnsi="Arial" w:cs="Arial"/>
        </w:rPr>
        <w:t xml:space="preserve"> and AstraZeneca's </w:t>
      </w:r>
      <w:hyperlink r:id="rId17" w:history="1">
        <w:proofErr w:type="spellStart"/>
        <w:r w:rsidRPr="00307385">
          <w:rPr>
            <w:rStyle w:val="Hyperlink"/>
            <w:rFonts w:ascii="Arial" w:hAnsi="Arial" w:cs="Arial"/>
            <w:color w:val="auto"/>
            <w:u w:val="none"/>
          </w:rPr>
          <w:t>MedImmune</w:t>
        </w:r>
        <w:proofErr w:type="spellEnd"/>
      </w:hyperlink>
      <w:r w:rsidRPr="00307385">
        <w:rPr>
          <w:rFonts w:ascii="Arial" w:hAnsi="Arial" w:cs="Arial"/>
        </w:rPr>
        <w:t xml:space="preserve"> </w:t>
      </w:r>
      <w:r w:rsidR="000A0558" w:rsidRPr="00307385">
        <w:rPr>
          <w:rFonts w:ascii="Arial" w:hAnsi="Arial" w:cs="Arial"/>
        </w:rPr>
        <w:t>vaccine. The latter two can</w:t>
      </w:r>
      <w:r w:rsidRPr="00307385">
        <w:rPr>
          <w:rFonts w:ascii="Arial" w:hAnsi="Arial" w:cs="Arial"/>
        </w:rPr>
        <w:t xml:space="preserve"> be given to children</w:t>
      </w:r>
      <w:r w:rsidR="00307385" w:rsidRPr="00307385">
        <w:rPr>
          <w:rFonts w:ascii="Arial" w:hAnsi="Arial" w:cs="Arial"/>
        </w:rPr>
        <w:t xml:space="preserve"> </w:t>
      </w:r>
      <w:r w:rsidR="000A0558" w:rsidRPr="00307385">
        <w:rPr>
          <w:rFonts w:ascii="Arial" w:hAnsi="Arial" w:cs="Arial"/>
        </w:rPr>
        <w:t>only if they</w:t>
      </w:r>
      <w:r w:rsidRPr="00307385">
        <w:rPr>
          <w:rFonts w:ascii="Arial" w:hAnsi="Arial" w:cs="Arial"/>
        </w:rPr>
        <w:t xml:space="preserve"> are aged </w:t>
      </w:r>
      <w:r w:rsidR="000A0558" w:rsidRPr="00307385">
        <w:rPr>
          <w:rFonts w:ascii="Arial" w:hAnsi="Arial" w:cs="Arial"/>
        </w:rPr>
        <w:t xml:space="preserve">at least </w:t>
      </w:r>
      <w:r w:rsidRPr="00307385">
        <w:rPr>
          <w:rFonts w:ascii="Arial" w:hAnsi="Arial" w:cs="Arial"/>
        </w:rPr>
        <w:t xml:space="preserve">2 and 3 years </w:t>
      </w:r>
      <w:r w:rsidR="000A0558" w:rsidRPr="00307385">
        <w:rPr>
          <w:rFonts w:ascii="Arial" w:hAnsi="Arial" w:cs="Arial"/>
        </w:rPr>
        <w:t xml:space="preserve">respectively.  </w:t>
      </w:r>
    </w:p>
    <w:p w:rsidR="00347DAD" w:rsidRPr="00307385" w:rsidRDefault="00347DAD" w:rsidP="008331DF">
      <w:pPr>
        <w:pStyle w:val="ListParagraph"/>
        <w:numPr>
          <w:ilvl w:val="1"/>
          <w:numId w:val="29"/>
        </w:numPr>
        <w:spacing w:line="240" w:lineRule="auto"/>
        <w:rPr>
          <w:rFonts w:ascii="Arial" w:eastAsia="Times New Roman" w:hAnsi="Arial" w:cs="Arial"/>
        </w:rPr>
      </w:pPr>
      <w:r w:rsidRPr="00307385">
        <w:rPr>
          <w:rFonts w:ascii="Arial" w:hAnsi="Arial" w:cs="Arial"/>
          <w:sz w:val="21"/>
          <w:szCs w:val="21"/>
        </w:rPr>
        <w:t xml:space="preserve">A randomized, controlled trial examined whether double doses of </w:t>
      </w:r>
      <w:proofErr w:type="spellStart"/>
      <w:r w:rsidRPr="00307385">
        <w:rPr>
          <w:rFonts w:ascii="Arial" w:hAnsi="Arial" w:cs="Arial"/>
          <w:sz w:val="21"/>
          <w:szCs w:val="21"/>
        </w:rPr>
        <w:t>oseltamivir</w:t>
      </w:r>
      <w:proofErr w:type="spellEnd"/>
      <w:r w:rsidRPr="00307385">
        <w:rPr>
          <w:rFonts w:ascii="Arial" w:hAnsi="Arial" w:cs="Arial"/>
          <w:sz w:val="21"/>
          <w:szCs w:val="21"/>
        </w:rPr>
        <w:t xml:space="preserve"> would control viral replication faster than the standard dose in hospitalized patients</w:t>
      </w:r>
      <w:r w:rsidR="000A0558" w:rsidRPr="00307385">
        <w:rPr>
          <w:rFonts w:ascii="Arial" w:hAnsi="Arial" w:cs="Arial"/>
          <w:sz w:val="21"/>
          <w:szCs w:val="21"/>
        </w:rPr>
        <w:t>,</w:t>
      </w:r>
      <w:r w:rsidRPr="00307385">
        <w:rPr>
          <w:rFonts w:ascii="Arial" w:hAnsi="Arial" w:cs="Arial"/>
          <w:sz w:val="21"/>
          <w:szCs w:val="21"/>
        </w:rPr>
        <w:t xml:space="preserve"> and/or improve clinical outcomes. The trial found no differences in virological or clinical outcomes</w:t>
      </w:r>
      <w:r w:rsidRPr="00307385">
        <w:rPr>
          <w:rStyle w:val="FootnoteReference"/>
          <w:rFonts w:ascii="Arial" w:hAnsi="Arial" w:cs="Arial"/>
          <w:sz w:val="21"/>
          <w:szCs w:val="21"/>
        </w:rPr>
        <w:footnoteReference w:id="36"/>
      </w:r>
      <w:r w:rsidRPr="00307385">
        <w:rPr>
          <w:rFonts w:ascii="Arial" w:hAnsi="Arial" w:cs="Arial"/>
          <w:sz w:val="21"/>
          <w:szCs w:val="21"/>
        </w:rPr>
        <w:t xml:space="preserve">.  </w:t>
      </w:r>
    </w:p>
    <w:p w:rsidR="00402ED4" w:rsidRPr="00307385" w:rsidRDefault="00402ED4" w:rsidP="008331DF">
      <w:pPr>
        <w:pStyle w:val="ListParagraph"/>
        <w:numPr>
          <w:ilvl w:val="1"/>
          <w:numId w:val="29"/>
        </w:numPr>
        <w:spacing w:line="240" w:lineRule="auto"/>
        <w:rPr>
          <w:rFonts w:ascii="Arial" w:eastAsia="Times New Roman" w:hAnsi="Arial" w:cs="Arial"/>
        </w:rPr>
      </w:pPr>
      <w:proofErr w:type="spellStart"/>
      <w:r w:rsidRPr="00307385">
        <w:rPr>
          <w:rFonts w:ascii="Arial" w:hAnsi="Arial" w:cs="Arial"/>
        </w:rPr>
        <w:lastRenderedPageBreak/>
        <w:t>Medicago</w:t>
      </w:r>
      <w:proofErr w:type="spellEnd"/>
      <w:r w:rsidRPr="00307385">
        <w:rPr>
          <w:rFonts w:ascii="Arial" w:hAnsi="Arial" w:cs="Arial"/>
        </w:rPr>
        <w:t xml:space="preserve"> has received approval from Health Canada to begin a Phase II dose-sparing clinical trial of its virus-like particle (VLP) candidate vaccine for H5N1 bird flu. </w:t>
      </w:r>
      <w:proofErr w:type="spellStart"/>
      <w:r w:rsidR="000A0558" w:rsidRPr="00307385">
        <w:rPr>
          <w:rFonts w:ascii="Arial" w:hAnsi="Arial" w:cs="Arial"/>
        </w:rPr>
        <w:t>Medicago</w:t>
      </w:r>
      <w:proofErr w:type="spellEnd"/>
      <w:r w:rsidR="000A0558" w:rsidRPr="00307385">
        <w:rPr>
          <w:rFonts w:ascii="Arial" w:hAnsi="Arial" w:cs="Arial"/>
        </w:rPr>
        <w:t xml:space="preserve"> is now to be acquired by Mitsubishi</w:t>
      </w:r>
      <w:r w:rsidR="00452BC5" w:rsidRPr="00307385">
        <w:rPr>
          <w:rFonts w:ascii="Arial" w:hAnsi="Arial" w:cs="Arial"/>
        </w:rPr>
        <w:t xml:space="preserve"> Tanabe </w:t>
      </w:r>
      <w:proofErr w:type="spellStart"/>
      <w:r w:rsidR="00452BC5" w:rsidRPr="00307385">
        <w:rPr>
          <w:rFonts w:ascii="Arial" w:hAnsi="Arial" w:cs="Arial"/>
        </w:rPr>
        <w:t>Pharma</w:t>
      </w:r>
      <w:proofErr w:type="spellEnd"/>
      <w:r w:rsidR="00452BC5" w:rsidRPr="00307385">
        <w:rPr>
          <w:rFonts w:ascii="Arial" w:hAnsi="Arial" w:cs="Arial"/>
        </w:rPr>
        <w:t>, an affiliate of Philip Morris International.</w:t>
      </w:r>
    </w:p>
    <w:p w:rsidR="00C20C27" w:rsidRPr="00307385" w:rsidRDefault="00CC537C" w:rsidP="00C20C27">
      <w:pPr>
        <w:pStyle w:val="ListParagraph"/>
        <w:numPr>
          <w:ilvl w:val="1"/>
          <w:numId w:val="29"/>
        </w:numPr>
        <w:spacing w:line="240" w:lineRule="auto"/>
        <w:rPr>
          <w:rFonts w:ascii="Arial" w:eastAsia="Times New Roman" w:hAnsi="Arial" w:cs="Arial"/>
        </w:rPr>
      </w:pPr>
      <w:r w:rsidRPr="00307385">
        <w:rPr>
          <w:rFonts w:ascii="Arial" w:eastAsia="Times New Roman" w:hAnsi="Arial" w:cs="Arial"/>
          <w:lang w:eastAsia="en-AU"/>
        </w:rPr>
        <w:t xml:space="preserve">Studies published in the journal </w:t>
      </w:r>
      <w:r w:rsidRPr="00307385">
        <w:rPr>
          <w:rFonts w:ascii="Arial" w:eastAsia="Times New Roman" w:hAnsi="Arial" w:cs="Arial"/>
          <w:i/>
          <w:lang w:eastAsia="en-AU"/>
        </w:rPr>
        <w:t>Nature Genetics</w:t>
      </w:r>
      <w:r w:rsidRPr="00307385">
        <w:rPr>
          <w:rFonts w:ascii="Arial" w:eastAsia="Times New Roman" w:hAnsi="Arial" w:cs="Arial"/>
          <w:lang w:eastAsia="en-AU"/>
        </w:rPr>
        <w:t xml:space="preserve"> in June described genetic factors affecting how ducks respond to bird flu. Ducks can catch more different strains than other animals. They survive bird flu not because they have more immune genes, but because they have specialised genes that resist the vi</w:t>
      </w:r>
      <w:r w:rsidR="00C20C27" w:rsidRPr="00307385">
        <w:rPr>
          <w:rFonts w:ascii="Arial" w:eastAsia="Times New Roman" w:hAnsi="Arial" w:cs="Arial"/>
          <w:lang w:eastAsia="en-AU"/>
        </w:rPr>
        <w:t xml:space="preserve">rus.  </w:t>
      </w:r>
    </w:p>
    <w:p w:rsidR="00C20C27" w:rsidRPr="00C8156E" w:rsidRDefault="00C20C27" w:rsidP="009C7F66">
      <w:pPr>
        <w:pStyle w:val="ListParagraph"/>
        <w:numPr>
          <w:ilvl w:val="1"/>
          <w:numId w:val="29"/>
        </w:numPr>
        <w:spacing w:after="0" w:line="240" w:lineRule="auto"/>
        <w:rPr>
          <w:rFonts w:ascii="Arial" w:eastAsia="Times New Roman" w:hAnsi="Arial" w:cs="Arial"/>
          <w:color w:val="7030A0"/>
        </w:rPr>
      </w:pPr>
      <w:r w:rsidRPr="00307385">
        <w:rPr>
          <w:rFonts w:ascii="Arial" w:eastAsia="Times New Roman" w:hAnsi="Arial" w:cs="Arial"/>
        </w:rPr>
        <w:t xml:space="preserve">WHO sent a mission to Israel following detection of wild poliovirus in </w:t>
      </w:r>
      <w:proofErr w:type="gramStart"/>
      <w:r w:rsidRPr="00307385">
        <w:rPr>
          <w:rFonts w:ascii="Arial" w:eastAsia="Times New Roman" w:hAnsi="Arial" w:cs="Arial"/>
        </w:rPr>
        <w:t>sewage.</w:t>
      </w:r>
      <w:proofErr w:type="gramEnd"/>
      <w:r w:rsidRPr="00307385">
        <w:rPr>
          <w:rFonts w:ascii="Arial" w:eastAsia="Times New Roman" w:hAnsi="Arial" w:cs="Arial"/>
        </w:rPr>
        <w:t xml:space="preserve">  It recommended surveillance in countries with contacts in Israel.  A</w:t>
      </w:r>
      <w:r w:rsidRPr="00307385">
        <w:rPr>
          <w:rFonts w:ascii="Arial" w:hAnsi="Arial" w:cs="Arial"/>
        </w:rPr>
        <w:t xml:space="preserve"> supplementary immunization campaign with oral polio vaccine will </w:t>
      </w:r>
      <w:r w:rsidRPr="00C20C27">
        <w:rPr>
          <w:rFonts w:ascii="Arial" w:hAnsi="Arial" w:cs="Arial"/>
          <w:color w:val="000000"/>
        </w:rPr>
        <w:t>be undertaken locally.</w:t>
      </w:r>
    </w:p>
    <w:p w:rsidR="00C8156E" w:rsidRPr="00C20C27" w:rsidRDefault="00C8156E" w:rsidP="00C8156E">
      <w:pPr>
        <w:pStyle w:val="ListParagraph"/>
        <w:spacing w:after="0" w:line="240" w:lineRule="auto"/>
        <w:ind w:left="644"/>
        <w:rPr>
          <w:rFonts w:ascii="Arial" w:eastAsia="Times New Roman" w:hAnsi="Arial" w:cs="Arial"/>
          <w:color w:val="7030A0"/>
        </w:rPr>
      </w:pPr>
    </w:p>
    <w:p w:rsidR="001A20BD" w:rsidRDefault="002B3DFE" w:rsidP="009C7F66">
      <w:pPr>
        <w:pStyle w:val="Heading3"/>
        <w:spacing w:before="0"/>
      </w:pPr>
      <w:bookmarkStart w:id="24" w:name="_Toc362333803"/>
      <w:r>
        <w:t>MERS-</w:t>
      </w:r>
      <w:proofErr w:type="spellStart"/>
      <w:r>
        <w:t>CoV</w:t>
      </w:r>
      <w:bookmarkEnd w:id="24"/>
      <w:proofErr w:type="spellEnd"/>
    </w:p>
    <w:p w:rsidR="000439A0" w:rsidRPr="00307385" w:rsidRDefault="009C49E7" w:rsidP="000439A0">
      <w:pPr>
        <w:pStyle w:val="ListParagraph"/>
        <w:numPr>
          <w:ilvl w:val="1"/>
          <w:numId w:val="29"/>
        </w:numPr>
        <w:spacing w:after="0" w:line="240" w:lineRule="auto"/>
        <w:rPr>
          <w:rFonts w:ascii="Arial" w:hAnsi="Arial" w:cs="Arial"/>
        </w:rPr>
      </w:pPr>
      <w:r w:rsidRPr="00307385">
        <w:rPr>
          <w:rFonts w:ascii="Arial" w:hAnsi="Arial" w:cs="Arial"/>
        </w:rPr>
        <w:t>The Obama administration in early June designated Middle East respiratory syndrome coronavirus (MERS-</w:t>
      </w:r>
      <w:proofErr w:type="spellStart"/>
      <w:r w:rsidRPr="00307385">
        <w:rPr>
          <w:rFonts w:ascii="Arial" w:hAnsi="Arial" w:cs="Arial"/>
        </w:rPr>
        <w:t>CoV</w:t>
      </w:r>
      <w:proofErr w:type="spellEnd"/>
      <w:r w:rsidRPr="00307385">
        <w:rPr>
          <w:rFonts w:ascii="Arial" w:hAnsi="Arial" w:cs="Arial"/>
        </w:rPr>
        <w:t xml:space="preserve">) a potential threat to public health and national security. This permitted fast-track approval of treatments and tests.  In March, Congress had passed the Pandemic and All-Hazards Preparedness Reauthorization Act, strengthening the policies on emergency health threat designations. </w:t>
      </w:r>
    </w:p>
    <w:p w:rsidR="00452BC5" w:rsidRPr="00452BC5" w:rsidRDefault="000439A0" w:rsidP="00452BC5">
      <w:pPr>
        <w:pStyle w:val="ListParagraph"/>
        <w:numPr>
          <w:ilvl w:val="1"/>
          <w:numId w:val="29"/>
        </w:numPr>
        <w:spacing w:line="240" w:lineRule="auto"/>
        <w:rPr>
          <w:rFonts w:ascii="Arial" w:eastAsia="Times New Roman" w:hAnsi="Arial" w:cs="Arial"/>
          <w:i/>
        </w:rPr>
      </w:pPr>
      <w:r w:rsidRPr="00452BC5">
        <w:rPr>
          <w:rFonts w:ascii="Arial" w:hAnsi="Arial" w:cs="Arial"/>
        </w:rPr>
        <w:t>At the end of June,</w:t>
      </w:r>
      <w:r w:rsidR="00642790" w:rsidRPr="00452BC5">
        <w:rPr>
          <w:rFonts w:ascii="Arial" w:hAnsi="Arial" w:cs="Arial"/>
        </w:rPr>
        <w:t xml:space="preserve"> Saudi Arabia's Health Ministry announced seven </w:t>
      </w:r>
      <w:r w:rsidRPr="00452BC5">
        <w:rPr>
          <w:rFonts w:ascii="Arial" w:hAnsi="Arial" w:cs="Arial"/>
        </w:rPr>
        <w:t>further laboratory-confirmed cases of Middle East Respiratory Syndrome Coronavirus (MERS-</w:t>
      </w:r>
      <w:proofErr w:type="spellStart"/>
      <w:r w:rsidRPr="00452BC5">
        <w:rPr>
          <w:rFonts w:ascii="Arial" w:hAnsi="Arial" w:cs="Arial"/>
        </w:rPr>
        <w:t>CoV</w:t>
      </w:r>
      <w:proofErr w:type="spellEnd"/>
      <w:r w:rsidRPr="00452BC5">
        <w:rPr>
          <w:rFonts w:ascii="Arial" w:hAnsi="Arial" w:cs="Arial"/>
        </w:rPr>
        <w:t xml:space="preserve">) and a death in a previously confirmed case.  </w:t>
      </w:r>
      <w:r w:rsidR="00642790" w:rsidRPr="00452BC5">
        <w:rPr>
          <w:rFonts w:ascii="Arial" w:hAnsi="Arial" w:cs="Arial"/>
        </w:rPr>
        <w:t>Virologists expressed concern about the possibility of transmission and geographic spread of the virus as a result of religious pilgrimages</w:t>
      </w:r>
      <w:r w:rsidR="00452BC5" w:rsidRPr="00452BC5">
        <w:rPr>
          <w:rFonts w:ascii="Arial" w:hAnsi="Arial" w:cs="Arial"/>
        </w:rPr>
        <w:t>.</w:t>
      </w:r>
      <w:r w:rsidR="00452BC5" w:rsidRPr="00452BC5">
        <w:rPr>
          <w:rFonts w:ascii="Arial" w:eastAsia="Times New Roman" w:hAnsi="Arial" w:cs="Arial"/>
        </w:rPr>
        <w:t xml:space="preserve"> Pilgrims </w:t>
      </w:r>
      <w:r w:rsidR="00452BC5">
        <w:rPr>
          <w:rFonts w:ascii="Arial" w:eastAsia="Times New Roman" w:hAnsi="Arial" w:cs="Arial"/>
        </w:rPr>
        <w:t>were</w:t>
      </w:r>
      <w:r w:rsidR="00452BC5" w:rsidRPr="00452BC5">
        <w:rPr>
          <w:rFonts w:ascii="Arial" w:eastAsia="Times New Roman" w:hAnsi="Arial" w:cs="Arial"/>
        </w:rPr>
        <w:t xml:space="preserve"> being encouraged to wear masks for the October Haj. </w:t>
      </w:r>
    </w:p>
    <w:p w:rsidR="00493BEF" w:rsidRPr="00493BEF" w:rsidRDefault="00452BC5" w:rsidP="00452BC5">
      <w:pPr>
        <w:pStyle w:val="ListParagraph"/>
        <w:numPr>
          <w:ilvl w:val="1"/>
          <w:numId w:val="29"/>
        </w:numPr>
        <w:spacing w:line="240" w:lineRule="auto"/>
        <w:rPr>
          <w:rFonts w:ascii="Arial" w:eastAsia="Times New Roman" w:hAnsi="Arial" w:cs="Arial"/>
          <w:i/>
        </w:rPr>
      </w:pPr>
      <w:r w:rsidRPr="00434486">
        <w:rPr>
          <w:rFonts w:ascii="Arial" w:hAnsi="Arial" w:cs="Arial"/>
        </w:rPr>
        <w:t>WHO on 6 July announced it would convene an International Health Regulations (IHR) Emergency Committee on MERS-</w:t>
      </w:r>
      <w:proofErr w:type="spellStart"/>
      <w:r w:rsidRPr="00434486">
        <w:rPr>
          <w:rFonts w:ascii="Arial" w:hAnsi="Arial" w:cs="Arial"/>
        </w:rPr>
        <w:t>CoV</w:t>
      </w:r>
      <w:proofErr w:type="spellEnd"/>
      <w:r w:rsidRPr="00434486">
        <w:rPr>
          <w:rFonts w:ascii="Arial" w:hAnsi="Arial" w:cs="Arial"/>
        </w:rPr>
        <w:t xml:space="preserve"> as there is a lack of knowledge about the disease.  At that time there had been 77 confirmed cases and 43 deaths</w:t>
      </w:r>
    </w:p>
    <w:p w:rsidR="00493BEF" w:rsidRPr="00493BEF" w:rsidRDefault="00452BC5" w:rsidP="00452BC5">
      <w:pPr>
        <w:pStyle w:val="ListParagraph"/>
        <w:numPr>
          <w:ilvl w:val="1"/>
          <w:numId w:val="29"/>
        </w:numPr>
        <w:spacing w:line="240" w:lineRule="auto"/>
        <w:rPr>
          <w:rFonts w:ascii="Arial" w:eastAsia="Times New Roman" w:hAnsi="Arial" w:cs="Arial"/>
          <w:i/>
        </w:rPr>
      </w:pPr>
      <w:r w:rsidRPr="00452BC5">
        <w:rPr>
          <w:rFonts w:ascii="Arial" w:eastAsia="Times New Roman" w:hAnsi="Arial" w:cs="Arial"/>
        </w:rPr>
        <w:t>On 12 July, the Saudi Ministry of Health announced that, in a measure to prevent the spread of MERS-</w:t>
      </w:r>
      <w:proofErr w:type="spellStart"/>
      <w:r w:rsidRPr="00452BC5">
        <w:rPr>
          <w:rFonts w:ascii="Arial" w:eastAsia="Times New Roman" w:hAnsi="Arial" w:cs="Arial"/>
        </w:rPr>
        <w:t>CoV</w:t>
      </w:r>
      <w:proofErr w:type="spellEnd"/>
      <w:r w:rsidRPr="00452BC5">
        <w:rPr>
          <w:rFonts w:ascii="Arial" w:eastAsia="Times New Roman" w:hAnsi="Arial" w:cs="Arial"/>
        </w:rPr>
        <w:t xml:space="preserve">, the elderly and those suffering from chronic diseases would not be granted Haj visas this year, nor would they receive visas for the subsequent </w:t>
      </w:r>
      <w:proofErr w:type="spellStart"/>
      <w:r w:rsidRPr="00452BC5">
        <w:rPr>
          <w:rFonts w:ascii="Arial" w:eastAsia="Times New Roman" w:hAnsi="Arial" w:cs="Arial"/>
        </w:rPr>
        <w:t>Umrah</w:t>
      </w:r>
      <w:proofErr w:type="spellEnd"/>
      <w:r w:rsidRPr="00452BC5">
        <w:rPr>
          <w:rFonts w:ascii="Arial" w:eastAsia="Times New Roman" w:hAnsi="Arial" w:cs="Arial"/>
        </w:rPr>
        <w:t xml:space="preserve"> season.</w:t>
      </w:r>
      <w:r>
        <w:rPr>
          <w:rFonts w:ascii="Arial" w:eastAsia="Times New Roman" w:hAnsi="Arial" w:cs="Arial"/>
        </w:rPr>
        <w:t xml:space="preserve">  </w:t>
      </w:r>
    </w:p>
    <w:p w:rsidR="000439A0" w:rsidRPr="00452BC5" w:rsidRDefault="00452BC5" w:rsidP="00452BC5">
      <w:pPr>
        <w:pStyle w:val="ListParagraph"/>
        <w:numPr>
          <w:ilvl w:val="1"/>
          <w:numId w:val="29"/>
        </w:numPr>
        <w:spacing w:line="240" w:lineRule="auto"/>
        <w:rPr>
          <w:rFonts w:ascii="Arial" w:eastAsia="Times New Roman" w:hAnsi="Arial" w:cs="Arial"/>
          <w:i/>
        </w:rPr>
      </w:pPr>
      <w:r>
        <w:rPr>
          <w:rFonts w:ascii="Arial" w:eastAsia="Times New Roman" w:hAnsi="Arial" w:cs="Arial"/>
        </w:rPr>
        <w:t>On 13 July, WHO announced that a laboratory confirmed case in the United Arab Emirates brought the global total to 82 cases.</w:t>
      </w:r>
    </w:p>
    <w:p w:rsidR="00434486" w:rsidRPr="00493BEF" w:rsidRDefault="000439A0" w:rsidP="00493BEF">
      <w:pPr>
        <w:pStyle w:val="ListParagraph"/>
        <w:numPr>
          <w:ilvl w:val="1"/>
          <w:numId w:val="29"/>
        </w:numPr>
        <w:spacing w:after="0" w:line="240" w:lineRule="auto"/>
        <w:rPr>
          <w:rFonts w:ascii="Arial" w:hAnsi="Arial" w:cs="Arial"/>
          <w:color w:val="7030A0"/>
        </w:rPr>
      </w:pPr>
      <w:r w:rsidRPr="000439A0">
        <w:rPr>
          <w:rFonts w:ascii="Arial" w:eastAsia="Times New Roman" w:hAnsi="Arial" w:cs="Arial"/>
        </w:rPr>
        <w:t xml:space="preserve">A report in the </w:t>
      </w:r>
      <w:r w:rsidRPr="00452BC5">
        <w:rPr>
          <w:rFonts w:ascii="Arial" w:eastAsia="Times New Roman" w:hAnsi="Arial" w:cs="Arial"/>
          <w:i/>
        </w:rPr>
        <w:t>New England Journal of Medicine</w:t>
      </w:r>
      <w:r w:rsidRPr="000439A0">
        <w:rPr>
          <w:rFonts w:ascii="Arial" w:eastAsia="Times New Roman" w:hAnsi="Arial" w:cs="Arial"/>
        </w:rPr>
        <w:t xml:space="preserve"> says Middle East respiratory syndrom</w:t>
      </w:r>
      <w:r w:rsidR="00452BC5">
        <w:rPr>
          <w:rFonts w:ascii="Arial" w:eastAsia="Times New Roman" w:hAnsi="Arial" w:cs="Arial"/>
        </w:rPr>
        <w:t>e coronavirus is readily transmi</w:t>
      </w:r>
      <w:r w:rsidRPr="000439A0">
        <w:rPr>
          <w:rFonts w:ascii="Arial" w:eastAsia="Times New Roman" w:hAnsi="Arial" w:cs="Arial"/>
        </w:rPr>
        <w:t>tted in health ca</w:t>
      </w:r>
      <w:r w:rsidR="00493BEF">
        <w:rPr>
          <w:rFonts w:ascii="Arial" w:eastAsia="Times New Roman" w:hAnsi="Arial" w:cs="Arial"/>
        </w:rPr>
        <w:t>re settings, and represents a se</w:t>
      </w:r>
      <w:r w:rsidRPr="000439A0">
        <w:rPr>
          <w:rFonts w:ascii="Arial" w:eastAsia="Times New Roman" w:hAnsi="Arial" w:cs="Arial"/>
        </w:rPr>
        <w:t>rious risk to hospitals</w:t>
      </w:r>
      <w:r w:rsidRPr="00BF2D69">
        <w:rPr>
          <w:rStyle w:val="FootnoteReference"/>
          <w:rFonts w:ascii="Arial" w:eastAsia="Times New Roman" w:hAnsi="Arial" w:cs="Arial"/>
        </w:rPr>
        <w:footnoteReference w:id="37"/>
      </w:r>
      <w:r w:rsidRPr="000439A0">
        <w:rPr>
          <w:rFonts w:ascii="Arial" w:eastAsia="Times New Roman" w:hAnsi="Arial" w:cs="Arial"/>
        </w:rPr>
        <w:t>.</w:t>
      </w:r>
    </w:p>
    <w:p w:rsidR="006B401F" w:rsidRPr="00A9326E" w:rsidRDefault="006B401F" w:rsidP="00434486">
      <w:pPr>
        <w:pStyle w:val="ListParagraph"/>
        <w:numPr>
          <w:ilvl w:val="1"/>
          <w:numId w:val="29"/>
        </w:numPr>
        <w:spacing w:after="0" w:line="240" w:lineRule="auto"/>
        <w:rPr>
          <w:rFonts w:ascii="Arial" w:hAnsi="Arial" w:cs="Arial"/>
          <w:color w:val="7030A0"/>
        </w:rPr>
      </w:pPr>
      <w:r>
        <w:rPr>
          <w:rFonts w:ascii="Arial" w:hAnsi="Arial" w:cs="Arial"/>
        </w:rPr>
        <w:t xml:space="preserve">By the end of June </w:t>
      </w:r>
      <w:proofErr w:type="spellStart"/>
      <w:r>
        <w:rPr>
          <w:rFonts w:ascii="Arial" w:hAnsi="Arial" w:cs="Arial"/>
        </w:rPr>
        <w:t>Greffex</w:t>
      </w:r>
      <w:proofErr w:type="spellEnd"/>
      <w:r>
        <w:rPr>
          <w:rFonts w:ascii="Arial" w:hAnsi="Arial" w:cs="Arial"/>
        </w:rPr>
        <w:t xml:space="preserve"> announced it had developed a vaccine against MERS-</w:t>
      </w:r>
      <w:proofErr w:type="spellStart"/>
      <w:r>
        <w:rPr>
          <w:rFonts w:ascii="Arial" w:hAnsi="Arial" w:cs="Arial"/>
        </w:rPr>
        <w:t>CoV</w:t>
      </w:r>
      <w:proofErr w:type="spellEnd"/>
      <w:r>
        <w:rPr>
          <w:rFonts w:ascii="Arial" w:hAnsi="Arial" w:cs="Arial"/>
        </w:rPr>
        <w:t>. The company’s proprietary GREVAX platform was developed with support from the US National Institutes of Health (NIH)</w:t>
      </w:r>
      <w:r w:rsidR="00875CE0">
        <w:rPr>
          <w:rFonts w:ascii="Arial" w:hAnsi="Arial" w:cs="Arial"/>
        </w:rPr>
        <w:t xml:space="preserve"> and the US National Institute of Standards and Technology.  GREVAX vaccines can be administered by injection or nasal mist.</w:t>
      </w:r>
    </w:p>
    <w:p w:rsidR="00A9326E" w:rsidRPr="00C8156E" w:rsidRDefault="00A9326E" w:rsidP="00434486">
      <w:pPr>
        <w:pStyle w:val="ListParagraph"/>
        <w:numPr>
          <w:ilvl w:val="1"/>
          <w:numId w:val="29"/>
        </w:numPr>
        <w:spacing w:after="0" w:line="240" w:lineRule="auto"/>
        <w:rPr>
          <w:rFonts w:ascii="Arial" w:hAnsi="Arial" w:cs="Arial"/>
          <w:color w:val="7030A0"/>
        </w:rPr>
      </w:pPr>
      <w:r>
        <w:rPr>
          <w:rFonts w:ascii="Arial" w:hAnsi="Arial" w:cs="Arial"/>
        </w:rPr>
        <w:t>Purdue University researchers who previously created a drug to block the SARAS virus have been working with MERS-</w:t>
      </w:r>
      <w:proofErr w:type="spellStart"/>
      <w:r>
        <w:rPr>
          <w:rFonts w:ascii="Arial" w:hAnsi="Arial" w:cs="Arial"/>
        </w:rPr>
        <w:t>CoV</w:t>
      </w:r>
      <w:proofErr w:type="spellEnd"/>
      <w:r>
        <w:rPr>
          <w:rFonts w:ascii="Arial" w:hAnsi="Arial" w:cs="Arial"/>
        </w:rPr>
        <w:t>.</w:t>
      </w:r>
    </w:p>
    <w:p w:rsidR="00C8156E" w:rsidRPr="00434486" w:rsidRDefault="00C8156E" w:rsidP="00C8156E">
      <w:pPr>
        <w:pStyle w:val="ListParagraph"/>
        <w:spacing w:after="0" w:line="240" w:lineRule="auto"/>
        <w:ind w:left="644"/>
        <w:rPr>
          <w:rFonts w:ascii="Arial" w:hAnsi="Arial" w:cs="Arial"/>
          <w:color w:val="7030A0"/>
        </w:rPr>
      </w:pPr>
    </w:p>
    <w:p w:rsidR="002B3DFE" w:rsidRDefault="002B3DFE" w:rsidP="002B3DFE">
      <w:pPr>
        <w:pStyle w:val="Heading3"/>
        <w:spacing w:before="0"/>
      </w:pPr>
      <w:bookmarkStart w:id="25" w:name="_Toc362333804"/>
      <w:r>
        <w:t>Other</w:t>
      </w:r>
      <w:r w:rsidR="00C8156E">
        <w:t xml:space="preserve"> diseases: occurrence, prevention and treatment</w:t>
      </w:r>
      <w:bookmarkEnd w:id="25"/>
    </w:p>
    <w:p w:rsidR="009C49E7" w:rsidRPr="00307385" w:rsidRDefault="00972EFA" w:rsidP="008331DF">
      <w:pPr>
        <w:pStyle w:val="ListParagraph"/>
        <w:numPr>
          <w:ilvl w:val="1"/>
          <w:numId w:val="29"/>
        </w:numPr>
        <w:spacing w:after="0" w:line="240" w:lineRule="auto"/>
        <w:rPr>
          <w:rFonts w:ascii="Arial" w:hAnsi="Arial" w:cs="Arial"/>
        </w:rPr>
      </w:pPr>
      <w:r w:rsidRPr="00307385">
        <w:rPr>
          <w:rFonts w:ascii="Arial" w:hAnsi="Arial" w:cs="Arial"/>
        </w:rPr>
        <w:t xml:space="preserve">The European Medicines Agency's Committee for Medicinal Products for Human Use (CHMP) has recommended approval of a new smallpox vaccine.  </w:t>
      </w:r>
      <w:proofErr w:type="spellStart"/>
      <w:r w:rsidRPr="00307385">
        <w:rPr>
          <w:rFonts w:ascii="Arial" w:hAnsi="Arial" w:cs="Arial"/>
          <w:i/>
          <w:iCs/>
        </w:rPr>
        <w:t>Imvanex</w:t>
      </w:r>
      <w:proofErr w:type="spellEnd"/>
      <w:r w:rsidRPr="00307385">
        <w:rPr>
          <w:rFonts w:ascii="Arial" w:hAnsi="Arial" w:cs="Arial"/>
        </w:rPr>
        <w:t xml:space="preserve"> (Bavarian Nordic) is for active immunization against smallpox in adults - for primary vaccination (for individuals previously not vaccinated against smallpox) or booster vaccination.  </w:t>
      </w:r>
      <w:proofErr w:type="gramStart"/>
      <w:r w:rsidRPr="00307385">
        <w:rPr>
          <w:rFonts w:ascii="Arial" w:hAnsi="Arial" w:cs="Arial"/>
        </w:rPr>
        <w:t xml:space="preserve">It  </w:t>
      </w:r>
      <w:r w:rsidRPr="00307385">
        <w:rPr>
          <w:rFonts w:ascii="Arial" w:hAnsi="Arial" w:cs="Arial"/>
        </w:rPr>
        <w:lastRenderedPageBreak/>
        <w:t>can</w:t>
      </w:r>
      <w:proofErr w:type="gramEnd"/>
      <w:r w:rsidRPr="00307385">
        <w:rPr>
          <w:rFonts w:ascii="Arial" w:hAnsi="Arial" w:cs="Arial"/>
        </w:rPr>
        <w:t xml:space="preserve"> also be used in </w:t>
      </w:r>
      <w:proofErr w:type="spellStart"/>
      <w:r w:rsidRPr="00307385">
        <w:rPr>
          <w:rFonts w:ascii="Arial" w:hAnsi="Arial" w:cs="Arial"/>
        </w:rPr>
        <w:t>immunocompromised</w:t>
      </w:r>
      <w:proofErr w:type="spellEnd"/>
      <w:r w:rsidRPr="00307385">
        <w:rPr>
          <w:rFonts w:ascii="Arial" w:hAnsi="Arial" w:cs="Arial"/>
        </w:rPr>
        <w:t xml:space="preserve"> people.  Unlike traditional smallpox vaccines, </w:t>
      </w:r>
      <w:proofErr w:type="spellStart"/>
      <w:r w:rsidRPr="00307385">
        <w:rPr>
          <w:rFonts w:ascii="Arial" w:hAnsi="Arial" w:cs="Arial"/>
        </w:rPr>
        <w:t>Imvanex</w:t>
      </w:r>
      <w:proofErr w:type="spellEnd"/>
      <w:r w:rsidRPr="00307385">
        <w:rPr>
          <w:rFonts w:ascii="Arial" w:hAnsi="Arial" w:cs="Arial"/>
        </w:rPr>
        <w:t xml:space="preserve"> is </w:t>
      </w:r>
      <w:proofErr w:type="spellStart"/>
      <w:r w:rsidRPr="00307385">
        <w:rPr>
          <w:rFonts w:ascii="Arial" w:hAnsi="Arial" w:cs="Arial"/>
        </w:rPr>
        <w:t>nonreplicating</w:t>
      </w:r>
      <w:proofErr w:type="spellEnd"/>
      <w:r w:rsidRPr="00307385">
        <w:rPr>
          <w:rFonts w:ascii="Arial" w:hAnsi="Arial" w:cs="Arial"/>
        </w:rPr>
        <w:t xml:space="preserve">, which means it does not proliferate in the body, the committee </w:t>
      </w:r>
      <w:proofErr w:type="spellStart"/>
      <w:r w:rsidRPr="00307385">
        <w:rPr>
          <w:rFonts w:ascii="Arial" w:hAnsi="Arial" w:cs="Arial"/>
        </w:rPr>
        <w:t>notes."It</w:t>
      </w:r>
      <w:proofErr w:type="spellEnd"/>
      <w:r w:rsidRPr="00307385">
        <w:rPr>
          <w:rFonts w:ascii="Arial" w:hAnsi="Arial" w:cs="Arial"/>
        </w:rPr>
        <w:t xml:space="preserve"> is a live attenuated virus which works by inducing the immune system to produce antibodies against the smallpox virus. It will be available as a suspension for subcutaneous injection," the committee said.</w:t>
      </w:r>
    </w:p>
    <w:p w:rsidR="00AF0758" w:rsidRPr="00307385" w:rsidRDefault="00AF0758" w:rsidP="00B839A9">
      <w:pPr>
        <w:pStyle w:val="ListParagraph"/>
        <w:numPr>
          <w:ilvl w:val="1"/>
          <w:numId w:val="29"/>
        </w:numPr>
        <w:spacing w:after="0" w:line="240" w:lineRule="auto"/>
        <w:rPr>
          <w:rFonts w:ascii="Arial" w:hAnsi="Arial" w:cs="Arial"/>
        </w:rPr>
      </w:pPr>
      <w:r w:rsidRPr="00307385">
        <w:rPr>
          <w:rFonts w:ascii="Arial" w:hAnsi="Arial" w:cs="Arial"/>
        </w:rPr>
        <w:t xml:space="preserve">Legionnaire’s disease was discovered in the hot water system at Wesley Hospital, Brisbane. One patient died, another contracted the disease. </w:t>
      </w:r>
      <w:r w:rsidR="00C27973" w:rsidRPr="00307385">
        <w:rPr>
          <w:rFonts w:ascii="Arial" w:hAnsi="Arial" w:cs="Arial"/>
        </w:rPr>
        <w:t xml:space="preserve"> Testing of hot water systems at other Queensland hospitals led to sanitization work at a number of</w:t>
      </w:r>
      <w:r w:rsidR="00493BEF" w:rsidRPr="00307385">
        <w:rPr>
          <w:rFonts w:ascii="Arial" w:hAnsi="Arial" w:cs="Arial"/>
        </w:rPr>
        <w:t xml:space="preserve"> </w:t>
      </w:r>
      <w:r w:rsidR="00DE235A" w:rsidRPr="00307385">
        <w:rPr>
          <w:rFonts w:ascii="Arial" w:hAnsi="Arial" w:cs="Arial"/>
        </w:rPr>
        <w:t>them.</w:t>
      </w:r>
    </w:p>
    <w:p w:rsidR="0031533F" w:rsidRPr="00307385" w:rsidRDefault="00307385" w:rsidP="00B839A9">
      <w:pPr>
        <w:pStyle w:val="ListParagraph"/>
        <w:numPr>
          <w:ilvl w:val="1"/>
          <w:numId w:val="29"/>
        </w:numPr>
        <w:spacing w:after="0" w:line="240" w:lineRule="auto"/>
        <w:rPr>
          <w:rFonts w:ascii="Arial" w:hAnsi="Arial" w:cs="Arial"/>
        </w:rPr>
      </w:pPr>
      <w:r>
        <w:rPr>
          <w:rFonts w:ascii="Arial" w:hAnsi="Arial" w:cs="Arial"/>
        </w:rPr>
        <w:t>In mid-</w:t>
      </w:r>
      <w:r w:rsidR="0031533F" w:rsidRPr="00307385">
        <w:rPr>
          <w:rFonts w:ascii="Arial" w:hAnsi="Arial" w:cs="Arial"/>
        </w:rPr>
        <w:t>June, NSW Health warned of an outbreak of mumps across the state</w:t>
      </w:r>
      <w:r w:rsidR="00493BEF" w:rsidRPr="00307385">
        <w:rPr>
          <w:rFonts w:ascii="Arial" w:hAnsi="Arial" w:cs="Arial"/>
        </w:rPr>
        <w:t>.</w:t>
      </w:r>
    </w:p>
    <w:p w:rsidR="000439A0" w:rsidRPr="00307385" w:rsidRDefault="00327922" w:rsidP="000439A0">
      <w:pPr>
        <w:pStyle w:val="ListParagraph"/>
        <w:numPr>
          <w:ilvl w:val="1"/>
          <w:numId w:val="29"/>
        </w:numPr>
        <w:spacing w:after="0" w:line="240" w:lineRule="auto"/>
        <w:rPr>
          <w:rFonts w:ascii="Arial" w:hAnsi="Arial" w:cs="Arial"/>
        </w:rPr>
      </w:pPr>
      <w:r w:rsidRPr="00307385">
        <w:rPr>
          <w:rFonts w:ascii="Arial" w:eastAsia="Times New Roman" w:hAnsi="Arial" w:cs="Arial"/>
          <w:lang w:eastAsia="en-AU"/>
        </w:rPr>
        <w:t xml:space="preserve">Hendra virus </w:t>
      </w:r>
      <w:r w:rsidR="005F6F08" w:rsidRPr="00307385">
        <w:rPr>
          <w:rFonts w:ascii="Arial" w:eastAsia="Times New Roman" w:hAnsi="Arial" w:cs="Arial"/>
          <w:lang w:eastAsia="en-AU"/>
        </w:rPr>
        <w:t xml:space="preserve">has killed unvaccinated horses </w:t>
      </w:r>
      <w:r w:rsidRPr="00307385">
        <w:rPr>
          <w:rFonts w:ascii="Arial" w:eastAsia="Times New Roman" w:hAnsi="Arial" w:cs="Arial"/>
          <w:lang w:eastAsia="en-AU"/>
        </w:rPr>
        <w:t>on the mid north coast of New South Wales</w:t>
      </w:r>
      <w:r w:rsidR="005F6F08" w:rsidRPr="00307385">
        <w:rPr>
          <w:rFonts w:ascii="Arial" w:eastAsia="Times New Roman" w:hAnsi="Arial" w:cs="Arial"/>
          <w:lang w:eastAsia="en-AU"/>
        </w:rPr>
        <w:t xml:space="preserve"> and west of Brisbane</w:t>
      </w:r>
      <w:r w:rsidRPr="00307385">
        <w:rPr>
          <w:rFonts w:ascii="Arial" w:eastAsia="Times New Roman" w:hAnsi="Arial" w:cs="Arial"/>
          <w:lang w:eastAsia="en-AU"/>
        </w:rPr>
        <w:t xml:space="preserve">. </w:t>
      </w:r>
      <w:r w:rsidR="005F6F08" w:rsidRPr="00307385">
        <w:rPr>
          <w:rFonts w:ascii="Arial" w:eastAsia="Times New Roman" w:hAnsi="Arial" w:cs="Arial"/>
          <w:lang w:eastAsia="en-AU"/>
        </w:rPr>
        <w:t>T</w:t>
      </w:r>
      <w:r w:rsidRPr="00307385">
        <w:rPr>
          <w:rFonts w:ascii="Arial" w:eastAsia="Times New Roman" w:hAnsi="Arial" w:cs="Arial"/>
          <w:lang w:eastAsia="en-AU"/>
        </w:rPr>
        <w:t>here is no vaccine for humans.  The disease is spread by flying foxes.</w:t>
      </w:r>
    </w:p>
    <w:p w:rsidR="00B00749" w:rsidRPr="00B00749" w:rsidRDefault="000439A0" w:rsidP="00B00749">
      <w:pPr>
        <w:pStyle w:val="ListParagraph"/>
        <w:numPr>
          <w:ilvl w:val="1"/>
          <w:numId w:val="29"/>
        </w:numPr>
        <w:spacing w:after="0" w:line="240" w:lineRule="auto"/>
        <w:rPr>
          <w:rFonts w:ascii="Arial" w:hAnsi="Arial" w:cs="Arial"/>
          <w:color w:val="7030A0"/>
        </w:rPr>
      </w:pPr>
      <w:proofErr w:type="spellStart"/>
      <w:r w:rsidRPr="000439A0">
        <w:rPr>
          <w:rFonts w:ascii="Arial" w:hAnsi="Arial" w:cs="Arial"/>
        </w:rPr>
        <w:t>Vical</w:t>
      </w:r>
      <w:proofErr w:type="spellEnd"/>
      <w:r w:rsidRPr="000439A0">
        <w:rPr>
          <w:rFonts w:ascii="Arial" w:hAnsi="Arial" w:cs="Arial"/>
        </w:rPr>
        <w:t xml:space="preserve"> of San Diego and </w:t>
      </w:r>
      <w:proofErr w:type="spellStart"/>
      <w:r w:rsidRPr="000439A0">
        <w:rPr>
          <w:rFonts w:ascii="Arial" w:hAnsi="Arial" w:cs="Arial"/>
        </w:rPr>
        <w:t>Astellas</w:t>
      </w:r>
      <w:proofErr w:type="spellEnd"/>
      <w:r w:rsidRPr="000439A0">
        <w:rPr>
          <w:rFonts w:ascii="Arial" w:hAnsi="Arial" w:cs="Arial"/>
        </w:rPr>
        <w:t xml:space="preserve"> </w:t>
      </w:r>
      <w:proofErr w:type="spellStart"/>
      <w:r w:rsidRPr="000439A0">
        <w:rPr>
          <w:rFonts w:ascii="Arial" w:hAnsi="Arial" w:cs="Arial"/>
        </w:rPr>
        <w:t>Pharma</w:t>
      </w:r>
      <w:proofErr w:type="spellEnd"/>
      <w:r w:rsidRPr="000439A0">
        <w:rPr>
          <w:rFonts w:ascii="Arial" w:hAnsi="Arial" w:cs="Arial"/>
        </w:rPr>
        <w:t xml:space="preserve"> of Tokyo have initiated a multi-national Phase III trial of a vaccine to control cytomegalovirus.  ASP0113, or </w:t>
      </w:r>
      <w:proofErr w:type="spellStart"/>
      <w:r w:rsidRPr="000439A0">
        <w:rPr>
          <w:rFonts w:ascii="Arial" w:hAnsi="Arial" w:cs="Arial"/>
        </w:rPr>
        <w:t>TransVax</w:t>
      </w:r>
      <w:proofErr w:type="spellEnd"/>
      <w:r w:rsidRPr="000439A0">
        <w:rPr>
          <w:rFonts w:ascii="Arial" w:hAnsi="Arial" w:cs="Arial"/>
        </w:rPr>
        <w:t xml:space="preserve">, will be tested in about 500 hematopoietic cell transplant recipients. </w:t>
      </w:r>
    </w:p>
    <w:p w:rsidR="00B00749" w:rsidRPr="00B00749" w:rsidRDefault="00B00749" w:rsidP="00B00749">
      <w:pPr>
        <w:pStyle w:val="ListParagraph"/>
        <w:numPr>
          <w:ilvl w:val="1"/>
          <w:numId w:val="29"/>
        </w:numPr>
        <w:spacing w:after="0" w:line="240" w:lineRule="auto"/>
        <w:rPr>
          <w:rFonts w:ascii="Arial" w:hAnsi="Arial" w:cs="Arial"/>
          <w:color w:val="7030A0"/>
        </w:rPr>
      </w:pPr>
      <w:proofErr w:type="spellStart"/>
      <w:r w:rsidRPr="00B00749">
        <w:rPr>
          <w:rFonts w:ascii="Arial" w:hAnsi="Arial" w:cs="Arial"/>
        </w:rPr>
        <w:t>Chagas</w:t>
      </w:r>
      <w:proofErr w:type="spellEnd"/>
      <w:r w:rsidRPr="00B00749">
        <w:rPr>
          <w:rFonts w:ascii="Arial" w:hAnsi="Arial" w:cs="Arial"/>
        </w:rPr>
        <w:t xml:space="preserve"> disease, endemic in Latin America, is now present in a number of countries.  A recent case report from Canada, referring to the fact that Canadian Blood Services and </w:t>
      </w:r>
      <w:proofErr w:type="spellStart"/>
      <w:r w:rsidRPr="00B00749">
        <w:rPr>
          <w:rFonts w:ascii="Arial" w:hAnsi="Arial" w:cs="Arial"/>
        </w:rPr>
        <w:t>HemaQuebec</w:t>
      </w:r>
      <w:proofErr w:type="spellEnd"/>
      <w:r w:rsidRPr="00B00749">
        <w:rPr>
          <w:rFonts w:ascii="Arial" w:hAnsi="Arial" w:cs="Arial"/>
        </w:rPr>
        <w:t xml:space="preserve"> have both initiated blood donor testing for the </w:t>
      </w:r>
      <w:proofErr w:type="spellStart"/>
      <w:r w:rsidRPr="00B00749">
        <w:rPr>
          <w:rFonts w:ascii="Arial" w:hAnsi="Arial" w:cs="Arial"/>
        </w:rPr>
        <w:t>Chagas</w:t>
      </w:r>
      <w:proofErr w:type="spellEnd"/>
      <w:r w:rsidRPr="00B00749">
        <w:rPr>
          <w:rFonts w:ascii="Arial" w:hAnsi="Arial" w:cs="Arial"/>
        </w:rPr>
        <w:t xml:space="preserve"> antibody, describes an unusual “case of vertical transmission from a mother, most likely infected through blood transfusion, and detected as part of a concurrent </w:t>
      </w:r>
      <w:proofErr w:type="spellStart"/>
      <w:r w:rsidRPr="00B00749">
        <w:rPr>
          <w:rFonts w:ascii="Arial" w:hAnsi="Arial" w:cs="Arial"/>
        </w:rPr>
        <w:t>seropr</w:t>
      </w:r>
      <w:r w:rsidR="00D670A7">
        <w:rPr>
          <w:rFonts w:ascii="Arial" w:hAnsi="Arial" w:cs="Arial"/>
        </w:rPr>
        <w:t>evalence</w:t>
      </w:r>
      <w:proofErr w:type="spellEnd"/>
      <w:r w:rsidR="00D670A7">
        <w:rPr>
          <w:rFonts w:ascii="Arial" w:hAnsi="Arial" w:cs="Arial"/>
        </w:rPr>
        <w:t xml:space="preserve"> study in blood donors”</w:t>
      </w:r>
      <w:r>
        <w:rPr>
          <w:rStyle w:val="FootnoteReference"/>
          <w:rFonts w:ascii="Arial" w:hAnsi="Arial" w:cs="Arial"/>
        </w:rPr>
        <w:footnoteReference w:id="38"/>
      </w:r>
      <w:r w:rsidRPr="00B00749">
        <w:rPr>
          <w:rFonts w:ascii="Arial" w:hAnsi="Arial" w:cs="Arial"/>
        </w:rPr>
        <w:t>.</w:t>
      </w:r>
    </w:p>
    <w:p w:rsidR="000439A0" w:rsidRPr="00AE395E" w:rsidRDefault="00AE395E" w:rsidP="00B839A9">
      <w:pPr>
        <w:pStyle w:val="ListParagraph"/>
        <w:numPr>
          <w:ilvl w:val="1"/>
          <w:numId w:val="29"/>
        </w:numPr>
        <w:spacing w:after="0" w:line="240" w:lineRule="auto"/>
        <w:rPr>
          <w:rFonts w:ascii="Arial" w:hAnsi="Arial" w:cs="Arial"/>
          <w:color w:val="7030A0"/>
        </w:rPr>
      </w:pPr>
      <w:r w:rsidRPr="00AE395E">
        <w:rPr>
          <w:rStyle w:val="Strong"/>
          <w:rFonts w:ascii="Arial" w:hAnsi="Arial" w:cs="Arial"/>
          <w:b w:val="0"/>
        </w:rPr>
        <w:t xml:space="preserve">Extensively drug-resistant tuberculosis in Papua New Guinea </w:t>
      </w:r>
      <w:r>
        <w:rPr>
          <w:rStyle w:val="Strong"/>
          <w:rFonts w:ascii="Arial" w:hAnsi="Arial" w:cs="Arial"/>
          <w:b w:val="0"/>
        </w:rPr>
        <w:t xml:space="preserve">is a concern in Far North Queensland, </w:t>
      </w:r>
      <w:r w:rsidR="00DE235A">
        <w:rPr>
          <w:rStyle w:val="Strong"/>
          <w:rFonts w:ascii="Arial" w:hAnsi="Arial" w:cs="Arial"/>
          <w:b w:val="0"/>
        </w:rPr>
        <w:t xml:space="preserve">with </w:t>
      </w:r>
      <w:r>
        <w:rPr>
          <w:rStyle w:val="Strong"/>
          <w:rFonts w:ascii="Arial" w:hAnsi="Arial" w:cs="Arial"/>
          <w:b w:val="0"/>
        </w:rPr>
        <w:t>free movement between settlements in the Torres Strait.</w:t>
      </w:r>
    </w:p>
    <w:p w:rsidR="00803DB4" w:rsidRPr="00B00749" w:rsidRDefault="00A06EDB" w:rsidP="00B839A9">
      <w:pPr>
        <w:pStyle w:val="ListParagraph"/>
        <w:numPr>
          <w:ilvl w:val="1"/>
          <w:numId w:val="29"/>
        </w:numPr>
        <w:spacing w:after="0" w:line="240" w:lineRule="auto"/>
        <w:rPr>
          <w:rFonts w:ascii="Arial" w:hAnsi="Arial" w:cs="Arial"/>
        </w:rPr>
      </w:pPr>
      <w:r w:rsidRPr="00B00749">
        <w:rPr>
          <w:rFonts w:ascii="Arial" w:hAnsi="Arial" w:cs="Arial"/>
        </w:rPr>
        <w:t xml:space="preserve">An international </w:t>
      </w:r>
      <w:r w:rsidR="00307385">
        <w:rPr>
          <w:rFonts w:ascii="Arial" w:hAnsi="Arial" w:cs="Arial"/>
        </w:rPr>
        <w:t>team has identified a new anti-</w:t>
      </w:r>
      <w:r w:rsidRPr="00B00749">
        <w:rPr>
          <w:rFonts w:ascii="Arial" w:hAnsi="Arial" w:cs="Arial"/>
        </w:rPr>
        <w:t>tuberculosis compound which it says is active not only against ordinary TB bacteria but also against non-replicating TB bacteria and even extensively drug-resistant TB strains</w:t>
      </w:r>
      <w:r w:rsidRPr="00B00749">
        <w:rPr>
          <w:rStyle w:val="FootnoteReference"/>
          <w:rFonts w:ascii="Arial" w:hAnsi="Arial" w:cs="Arial"/>
        </w:rPr>
        <w:footnoteReference w:id="39"/>
      </w:r>
      <w:r w:rsidRPr="00B00749">
        <w:rPr>
          <w:rFonts w:ascii="Arial" w:hAnsi="Arial" w:cs="Arial"/>
        </w:rPr>
        <w:t>.  The team was led by scientists from The Scripps Research Institute (TSRI), the Howard Hughes Medical Institute and Albert Einstein College of Medicine of Yeshiva University.</w:t>
      </w:r>
    </w:p>
    <w:sectPr w:rsidR="00803DB4" w:rsidRPr="00B0074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06" w:rsidRDefault="00432206" w:rsidP="000405AD">
      <w:pPr>
        <w:spacing w:after="0" w:line="240" w:lineRule="auto"/>
      </w:pPr>
      <w:r>
        <w:separator/>
      </w:r>
    </w:p>
  </w:endnote>
  <w:endnote w:type="continuationSeparator" w:id="0">
    <w:p w:rsidR="00432206" w:rsidRDefault="00432206"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C61096" w:rsidRDefault="00C61096">
        <w:pPr>
          <w:pStyle w:val="Footer"/>
        </w:pPr>
        <w:r>
          <w:fldChar w:fldCharType="begin"/>
        </w:r>
        <w:r>
          <w:instrText xml:space="preserve"> PAGE   \* MERGEFORMAT </w:instrText>
        </w:r>
        <w:r>
          <w:fldChar w:fldCharType="separate"/>
        </w:r>
        <w:r w:rsidR="0044518E">
          <w:rPr>
            <w:noProof/>
          </w:rPr>
          <w:t>15</w:t>
        </w:r>
        <w:r>
          <w:rPr>
            <w:noProof/>
          </w:rPr>
          <w:fldChar w:fldCharType="end"/>
        </w:r>
      </w:p>
    </w:sdtContent>
  </w:sdt>
  <w:p w:rsidR="00C61096" w:rsidRDefault="00C61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06" w:rsidRDefault="00432206" w:rsidP="000405AD">
      <w:pPr>
        <w:spacing w:after="0" w:line="240" w:lineRule="auto"/>
      </w:pPr>
      <w:r>
        <w:separator/>
      </w:r>
    </w:p>
  </w:footnote>
  <w:footnote w:type="continuationSeparator" w:id="0">
    <w:p w:rsidR="00432206" w:rsidRDefault="00432206" w:rsidP="000405AD">
      <w:pPr>
        <w:spacing w:after="0" w:line="240" w:lineRule="auto"/>
      </w:pPr>
      <w:r>
        <w:continuationSeparator/>
      </w:r>
    </w:p>
  </w:footnote>
  <w:footnote w:id="1">
    <w:p w:rsidR="003E6D4F" w:rsidRPr="003E6D4F" w:rsidRDefault="003E6D4F" w:rsidP="003E6D4F">
      <w:pPr>
        <w:pStyle w:val="FootnoteText"/>
        <w:rPr>
          <w:rFonts w:ascii="Arial" w:hAnsi="Arial" w:cs="Arial"/>
        </w:rPr>
      </w:pPr>
      <w:r>
        <w:rPr>
          <w:rStyle w:val="FootnoteReference"/>
        </w:rPr>
        <w:footnoteRef/>
      </w:r>
      <w:r>
        <w:t xml:space="preserve"> </w:t>
      </w:r>
      <w:proofErr w:type="spellStart"/>
      <w:proofErr w:type="gramStart"/>
      <w:r w:rsidRPr="003E6D4F">
        <w:rPr>
          <w:rFonts w:ascii="Arial" w:hAnsi="Arial" w:cs="Arial"/>
        </w:rPr>
        <w:t>rEVO</w:t>
      </w:r>
      <w:proofErr w:type="spellEnd"/>
      <w:proofErr w:type="gramEnd"/>
      <w:r w:rsidRPr="003E6D4F">
        <w:rPr>
          <w:rFonts w:ascii="Arial" w:hAnsi="Arial" w:cs="Arial"/>
        </w:rPr>
        <w:t xml:space="preserve"> Biologics is an LFB Company. Its proprietary </w:t>
      </w:r>
      <w:proofErr w:type="spellStart"/>
      <w:r w:rsidRPr="003E6D4F">
        <w:rPr>
          <w:rFonts w:ascii="Arial" w:hAnsi="Arial" w:cs="Arial"/>
        </w:rPr>
        <w:t>rPRO</w:t>
      </w:r>
      <w:proofErr w:type="spellEnd"/>
      <w:r w:rsidRPr="003E6D4F">
        <w:rPr>
          <w:rFonts w:ascii="Arial" w:hAnsi="Arial" w:cs="Arial"/>
        </w:rPr>
        <w:t xml:space="preserve"> Technology platform is a scalable, transgenic, and cost-effective method of protein production.  Its lead product </w:t>
      </w:r>
      <w:proofErr w:type="gramStart"/>
      <w:r w:rsidRPr="003E6D4F">
        <w:rPr>
          <w:rFonts w:ascii="Arial" w:hAnsi="Arial" w:cs="Arial"/>
        </w:rPr>
        <w:t xml:space="preserve">is  </w:t>
      </w:r>
      <w:proofErr w:type="spellStart"/>
      <w:r w:rsidRPr="003E6D4F">
        <w:rPr>
          <w:rFonts w:ascii="Arial" w:hAnsi="Arial" w:cs="Arial"/>
        </w:rPr>
        <w:t>ATryn</w:t>
      </w:r>
      <w:proofErr w:type="spellEnd"/>
      <w:proofErr w:type="gramEnd"/>
      <w:r w:rsidRPr="003E6D4F">
        <w:rPr>
          <w:rFonts w:ascii="Arial" w:hAnsi="Arial" w:cs="Arial"/>
        </w:rPr>
        <w:t xml:space="preserve">, is the only plasma-free </w:t>
      </w:r>
      <w:proofErr w:type="spellStart"/>
      <w:r w:rsidRPr="003E6D4F">
        <w:rPr>
          <w:rFonts w:ascii="Arial" w:hAnsi="Arial" w:cs="Arial"/>
        </w:rPr>
        <w:t>antithrombin</w:t>
      </w:r>
      <w:proofErr w:type="spellEnd"/>
      <w:r w:rsidRPr="003E6D4F">
        <w:rPr>
          <w:rFonts w:ascii="Arial" w:hAnsi="Arial" w:cs="Arial"/>
        </w:rPr>
        <w:t xml:space="preserve"> concentrate. </w:t>
      </w:r>
      <w:proofErr w:type="spellStart"/>
      <w:r w:rsidRPr="003E6D4F">
        <w:rPr>
          <w:rFonts w:ascii="Arial" w:hAnsi="Arial" w:cs="Arial"/>
        </w:rPr>
        <w:t>ATryn</w:t>
      </w:r>
      <w:proofErr w:type="spellEnd"/>
      <w:r w:rsidRPr="003E6D4F">
        <w:rPr>
          <w:rFonts w:ascii="Arial" w:hAnsi="Arial" w:cs="Arial"/>
        </w:rPr>
        <w:t xml:space="preserve"> was approved by the FDA in 2009.</w:t>
      </w:r>
    </w:p>
  </w:footnote>
  <w:footnote w:id="2">
    <w:p w:rsidR="008F0E6F" w:rsidRDefault="008F0E6F" w:rsidP="008F0E6F">
      <w:pPr>
        <w:spacing w:after="0" w:line="240" w:lineRule="auto"/>
      </w:pPr>
      <w:r>
        <w:rPr>
          <w:rStyle w:val="FootnoteReference"/>
        </w:rPr>
        <w:footnoteRef/>
      </w:r>
      <w:r>
        <w:t xml:space="preserve"> </w:t>
      </w:r>
      <w:r w:rsidRPr="004F530D">
        <w:rPr>
          <w:rFonts w:ascii="Arial" w:eastAsia="Times New Roman" w:hAnsi="Arial" w:cs="Arial"/>
          <w:i/>
          <w:iCs/>
          <w:sz w:val="20"/>
          <w:szCs w:val="20"/>
        </w:rPr>
        <w:t>Treatment of Bleeding Episodes in Subjects with Haemophilia A With Long-Lasting Recombinant Factor VIII Fc Fusion Protein (</w:t>
      </w:r>
      <w:proofErr w:type="spellStart"/>
      <w:r w:rsidRPr="004F530D">
        <w:rPr>
          <w:rFonts w:ascii="Arial" w:eastAsia="Times New Roman" w:hAnsi="Arial" w:cs="Arial"/>
          <w:i/>
          <w:iCs/>
          <w:sz w:val="20"/>
          <w:szCs w:val="20"/>
        </w:rPr>
        <w:t>rFVIIIFc</w:t>
      </w:r>
      <w:proofErr w:type="spellEnd"/>
      <w:r w:rsidRPr="004F530D">
        <w:rPr>
          <w:rFonts w:ascii="Arial" w:eastAsia="Times New Roman" w:hAnsi="Arial" w:cs="Arial"/>
          <w:i/>
          <w:iCs/>
          <w:sz w:val="20"/>
          <w:szCs w:val="20"/>
        </w:rPr>
        <w:t>) in the Phase 3 A-Long Study</w:t>
      </w:r>
    </w:p>
  </w:footnote>
  <w:footnote w:id="3">
    <w:p w:rsidR="008F0E6F" w:rsidRDefault="008F0E6F" w:rsidP="004B1973">
      <w:pPr>
        <w:spacing w:after="0" w:line="240" w:lineRule="auto"/>
      </w:pPr>
      <w:r>
        <w:rPr>
          <w:rStyle w:val="FootnoteReference"/>
        </w:rPr>
        <w:footnoteRef/>
      </w:r>
      <w:r>
        <w:t xml:space="preserve"> </w:t>
      </w:r>
      <w:r w:rsidRPr="004F530D">
        <w:rPr>
          <w:rFonts w:ascii="Arial" w:eastAsia="Times New Roman" w:hAnsi="Arial" w:cs="Arial"/>
          <w:i/>
          <w:iCs/>
          <w:sz w:val="20"/>
          <w:szCs w:val="20"/>
        </w:rPr>
        <w:t>Evaluation of The Thrombin Generation Potential of a Recombinant Factor VIII Fc Fusion Protein in a Phase III Multi-National Clinical Trial</w:t>
      </w:r>
      <w:r w:rsidRPr="004F530D">
        <w:rPr>
          <w:rFonts w:ascii="Arial" w:eastAsia="Times New Roman" w:hAnsi="Arial" w:cs="Arial"/>
          <w:iCs/>
          <w:sz w:val="20"/>
          <w:szCs w:val="20"/>
        </w:rPr>
        <w:t xml:space="preserve"> and </w:t>
      </w:r>
      <w:r w:rsidRPr="004F530D">
        <w:rPr>
          <w:rFonts w:ascii="Arial" w:eastAsia="Times New Roman" w:hAnsi="Arial" w:cs="Arial"/>
          <w:i/>
          <w:iCs/>
          <w:sz w:val="20"/>
          <w:szCs w:val="20"/>
        </w:rPr>
        <w:t>Evaluation of Whole Blood Clotting Activity of Recombinant Factor VIII Fc Fusion Protein by ROTEM Analysis in a Multi-</w:t>
      </w:r>
      <w:proofErr w:type="spellStart"/>
      <w:r w:rsidRPr="004F530D">
        <w:rPr>
          <w:rFonts w:ascii="Arial" w:eastAsia="Times New Roman" w:hAnsi="Arial" w:cs="Arial"/>
          <w:i/>
          <w:iCs/>
          <w:sz w:val="20"/>
          <w:szCs w:val="20"/>
        </w:rPr>
        <w:t>Center</w:t>
      </w:r>
      <w:proofErr w:type="spellEnd"/>
      <w:r w:rsidRPr="004F530D">
        <w:rPr>
          <w:rFonts w:ascii="Arial" w:eastAsia="Times New Roman" w:hAnsi="Arial" w:cs="Arial"/>
          <w:i/>
          <w:iCs/>
          <w:sz w:val="20"/>
          <w:szCs w:val="20"/>
        </w:rPr>
        <w:t xml:space="preserve"> Phase 3 Clinical Trial</w:t>
      </w:r>
    </w:p>
  </w:footnote>
  <w:footnote w:id="4">
    <w:p w:rsidR="004B1973" w:rsidRPr="00F777E7" w:rsidRDefault="004B1973" w:rsidP="00F777E7">
      <w:pPr>
        <w:pStyle w:val="Heading1"/>
        <w:spacing w:before="0" w:line="240" w:lineRule="auto"/>
      </w:pPr>
      <w:r w:rsidRPr="00F777E7">
        <w:rPr>
          <w:rStyle w:val="FootnoteReference"/>
          <w:rFonts w:ascii="Arial" w:hAnsi="Arial" w:cs="Arial"/>
          <w:b w:val="0"/>
          <w:sz w:val="20"/>
          <w:szCs w:val="20"/>
        </w:rPr>
        <w:footnoteRef/>
      </w:r>
      <w:r w:rsidRPr="00F777E7">
        <w:rPr>
          <w:rFonts w:ascii="Arial" w:hAnsi="Arial" w:cs="Arial"/>
          <w:b w:val="0"/>
          <w:sz w:val="20"/>
          <w:szCs w:val="20"/>
        </w:rPr>
        <w:t xml:space="preserve"> </w:t>
      </w:r>
      <w:r w:rsidRPr="00F777E7">
        <w:rPr>
          <w:rFonts w:ascii="Arial" w:eastAsia="Times New Roman" w:hAnsi="Arial" w:cs="Arial"/>
          <w:b w:val="0"/>
          <w:i/>
          <w:iCs/>
          <w:color w:val="auto"/>
          <w:sz w:val="20"/>
          <w:szCs w:val="20"/>
        </w:rPr>
        <w:t>Population Pharmacokinetic Analysis of Long-Lasting Recombinant Factor VIII Fc Fusion Protein (</w:t>
      </w:r>
      <w:proofErr w:type="spellStart"/>
      <w:r w:rsidRPr="00F777E7">
        <w:rPr>
          <w:rFonts w:ascii="Arial" w:eastAsia="Times New Roman" w:hAnsi="Arial" w:cs="Arial"/>
          <w:b w:val="0"/>
          <w:i/>
          <w:iCs/>
          <w:color w:val="auto"/>
          <w:sz w:val="20"/>
          <w:szCs w:val="20"/>
        </w:rPr>
        <w:t>rFVIIIFc</w:t>
      </w:r>
      <w:proofErr w:type="spellEnd"/>
      <w:r w:rsidRPr="00F777E7">
        <w:rPr>
          <w:rFonts w:ascii="Arial" w:eastAsia="Times New Roman" w:hAnsi="Arial" w:cs="Arial"/>
          <w:b w:val="0"/>
          <w:i/>
          <w:iCs/>
          <w:color w:val="auto"/>
          <w:sz w:val="20"/>
          <w:szCs w:val="20"/>
        </w:rPr>
        <w:t xml:space="preserve">) in Patients with Severe Haemophilia </w:t>
      </w:r>
      <w:r w:rsidRPr="0021136C">
        <w:rPr>
          <w:rFonts w:ascii="Arial" w:eastAsia="Times New Roman" w:hAnsi="Arial" w:cs="Arial"/>
          <w:b w:val="0"/>
          <w:i/>
          <w:iCs/>
          <w:color w:val="auto"/>
          <w:sz w:val="20"/>
          <w:szCs w:val="20"/>
        </w:rPr>
        <w:t>A</w:t>
      </w:r>
      <w:r w:rsidR="00F777E7" w:rsidRPr="0021136C">
        <w:rPr>
          <w:rFonts w:ascii="Arial" w:eastAsia="Times New Roman" w:hAnsi="Arial" w:cs="Arial"/>
          <w:b w:val="0"/>
          <w:i/>
          <w:iCs/>
          <w:color w:val="auto"/>
          <w:sz w:val="20"/>
          <w:szCs w:val="20"/>
        </w:rPr>
        <w:t xml:space="preserve"> </w:t>
      </w:r>
      <w:r w:rsidR="00F777E7" w:rsidRPr="0021136C">
        <w:rPr>
          <w:rFonts w:ascii="Arial" w:eastAsia="Times New Roman" w:hAnsi="Arial" w:cs="Arial"/>
          <w:b w:val="0"/>
          <w:iCs/>
          <w:color w:val="auto"/>
          <w:sz w:val="20"/>
          <w:szCs w:val="20"/>
        </w:rPr>
        <w:t xml:space="preserve">and </w:t>
      </w:r>
      <w:r w:rsidR="00F777E7" w:rsidRPr="00F777E7">
        <w:rPr>
          <w:rFonts w:ascii="Arial" w:hAnsi="Arial" w:cs="Arial"/>
          <w:b w:val="0"/>
          <w:i/>
          <w:color w:val="auto"/>
          <w:sz w:val="20"/>
          <w:szCs w:val="20"/>
        </w:rPr>
        <w:t xml:space="preserve">A Platelet-Targeted Factor </w:t>
      </w:r>
      <w:proofErr w:type="spellStart"/>
      <w:r w:rsidR="00F777E7" w:rsidRPr="00F777E7">
        <w:rPr>
          <w:rFonts w:ascii="Arial" w:hAnsi="Arial" w:cs="Arial"/>
          <w:b w:val="0"/>
          <w:i/>
          <w:color w:val="auto"/>
          <w:sz w:val="20"/>
          <w:szCs w:val="20"/>
        </w:rPr>
        <w:t>VIIa</w:t>
      </w:r>
      <w:proofErr w:type="spellEnd"/>
      <w:r w:rsidR="00F777E7" w:rsidRPr="00F777E7">
        <w:rPr>
          <w:rFonts w:ascii="Arial" w:hAnsi="Arial" w:cs="Arial"/>
          <w:b w:val="0"/>
          <w:i/>
          <w:color w:val="auto"/>
          <w:sz w:val="20"/>
          <w:szCs w:val="20"/>
        </w:rPr>
        <w:t xml:space="preserve"> – XTEN Fusion Protein with Increased Circulating Half-Life and Improved Clotting Activity</w:t>
      </w:r>
    </w:p>
  </w:footnote>
  <w:footnote w:id="5">
    <w:p w:rsidR="004B1973" w:rsidRDefault="004B1973" w:rsidP="000B4544">
      <w:pPr>
        <w:spacing w:after="0" w:line="240" w:lineRule="auto"/>
      </w:pPr>
      <w:r>
        <w:rPr>
          <w:rStyle w:val="FootnoteReference"/>
        </w:rPr>
        <w:footnoteRef/>
      </w:r>
      <w:r>
        <w:t xml:space="preserve"> </w:t>
      </w:r>
      <w:r w:rsidRPr="002267A6">
        <w:rPr>
          <w:rFonts w:ascii="Arial" w:eastAsia="Times New Roman" w:hAnsi="Arial" w:cs="Arial"/>
          <w:i/>
          <w:iCs/>
          <w:sz w:val="20"/>
          <w:szCs w:val="20"/>
        </w:rPr>
        <w:t>Long-Lasting Recombinant Factor VIII Fc Fusion (</w:t>
      </w:r>
      <w:proofErr w:type="spellStart"/>
      <w:r w:rsidRPr="002267A6">
        <w:rPr>
          <w:rFonts w:ascii="Arial" w:eastAsia="Times New Roman" w:hAnsi="Arial" w:cs="Arial"/>
          <w:i/>
          <w:iCs/>
          <w:sz w:val="20"/>
          <w:szCs w:val="20"/>
        </w:rPr>
        <w:t>rFVIIIFc</w:t>
      </w:r>
      <w:proofErr w:type="spellEnd"/>
      <w:r w:rsidRPr="002267A6">
        <w:rPr>
          <w:rFonts w:ascii="Arial" w:eastAsia="Times New Roman" w:hAnsi="Arial" w:cs="Arial"/>
          <w:i/>
          <w:iCs/>
          <w:sz w:val="20"/>
          <w:szCs w:val="20"/>
        </w:rPr>
        <w:t>) for Perioperative Management of Subjects with Haemophilia A in the Phase 3 A-LONG Study</w:t>
      </w:r>
    </w:p>
  </w:footnote>
  <w:footnote w:id="6">
    <w:p w:rsidR="000B4544" w:rsidRDefault="000B4544" w:rsidP="000B4544">
      <w:pPr>
        <w:spacing w:after="0" w:line="240" w:lineRule="auto"/>
      </w:pPr>
      <w:r>
        <w:rPr>
          <w:rStyle w:val="FootnoteReference"/>
        </w:rPr>
        <w:footnoteRef/>
      </w:r>
      <w:r>
        <w:t xml:space="preserve"> </w:t>
      </w:r>
      <w:r w:rsidRPr="002704CE">
        <w:rPr>
          <w:rFonts w:ascii="Arial" w:eastAsia="Times New Roman" w:hAnsi="Arial" w:cs="Arial"/>
          <w:i/>
          <w:sz w:val="20"/>
          <w:szCs w:val="20"/>
          <w:lang w:eastAsia="en-AU"/>
        </w:rPr>
        <w:t>Long-Lasting Recombinant Factor FIX Fc Fusion (</w:t>
      </w:r>
      <w:proofErr w:type="spellStart"/>
      <w:r w:rsidRPr="002704CE">
        <w:rPr>
          <w:rFonts w:ascii="Arial" w:eastAsia="Times New Roman" w:hAnsi="Arial" w:cs="Arial"/>
          <w:i/>
          <w:sz w:val="20"/>
          <w:szCs w:val="20"/>
          <w:lang w:eastAsia="en-AU"/>
        </w:rPr>
        <w:t>rFIXFc</w:t>
      </w:r>
      <w:proofErr w:type="spellEnd"/>
      <w:r w:rsidRPr="002704CE">
        <w:rPr>
          <w:rFonts w:ascii="Arial" w:eastAsia="Times New Roman" w:hAnsi="Arial" w:cs="Arial"/>
          <w:i/>
          <w:sz w:val="20"/>
          <w:szCs w:val="20"/>
          <w:lang w:eastAsia="en-AU"/>
        </w:rPr>
        <w:t>) for Perioperative Management of Subjects with Haemophili</w:t>
      </w:r>
      <w:r>
        <w:rPr>
          <w:rFonts w:ascii="Arial" w:eastAsia="Times New Roman" w:hAnsi="Arial" w:cs="Arial"/>
          <w:i/>
          <w:sz w:val="20"/>
          <w:szCs w:val="20"/>
          <w:lang w:eastAsia="en-AU"/>
        </w:rPr>
        <w:t>a B in the Phase 3 B-LONG Study</w:t>
      </w:r>
      <w:r w:rsidRPr="002704CE">
        <w:rPr>
          <w:rFonts w:ascii="Arial" w:eastAsia="Times New Roman" w:hAnsi="Arial" w:cs="Arial"/>
          <w:i/>
          <w:sz w:val="20"/>
          <w:szCs w:val="20"/>
          <w:lang w:eastAsia="en-AU"/>
        </w:rPr>
        <w:t xml:space="preserve">; Clinical Implications of Population Pharmacokinetics of </w:t>
      </w:r>
      <w:proofErr w:type="spellStart"/>
      <w:r w:rsidRPr="002704CE">
        <w:rPr>
          <w:rFonts w:ascii="Arial" w:eastAsia="Times New Roman" w:hAnsi="Arial" w:cs="Arial"/>
          <w:i/>
          <w:sz w:val="20"/>
          <w:szCs w:val="20"/>
          <w:lang w:eastAsia="en-AU"/>
        </w:rPr>
        <w:t>rFIXFc</w:t>
      </w:r>
      <w:proofErr w:type="spellEnd"/>
      <w:r w:rsidRPr="002704CE">
        <w:rPr>
          <w:rFonts w:ascii="Arial" w:eastAsia="Times New Roman" w:hAnsi="Arial" w:cs="Arial"/>
          <w:i/>
          <w:sz w:val="20"/>
          <w:szCs w:val="20"/>
          <w:lang w:eastAsia="en-AU"/>
        </w:rPr>
        <w:t xml:space="preserve"> in Routine Prophylaxis, Control of Bleeding</w:t>
      </w:r>
      <w:r>
        <w:rPr>
          <w:rFonts w:ascii="Arial" w:eastAsia="Times New Roman" w:hAnsi="Arial" w:cs="Arial"/>
          <w:i/>
          <w:sz w:val="20"/>
          <w:szCs w:val="20"/>
          <w:lang w:eastAsia="en-AU"/>
        </w:rPr>
        <w:t>;</w:t>
      </w:r>
      <w:r w:rsidRPr="002704CE">
        <w:rPr>
          <w:rFonts w:ascii="Arial" w:eastAsia="Times New Roman" w:hAnsi="Arial" w:cs="Arial"/>
          <w:i/>
          <w:sz w:val="20"/>
          <w:szCs w:val="20"/>
          <w:lang w:eastAsia="en-AU"/>
        </w:rPr>
        <w:t xml:space="preserve"> </w:t>
      </w:r>
      <w:r w:rsidRPr="002704CE">
        <w:rPr>
          <w:rFonts w:ascii="Arial" w:eastAsia="Times New Roman" w:hAnsi="Arial" w:cs="Arial"/>
          <w:sz w:val="20"/>
          <w:szCs w:val="20"/>
          <w:lang w:eastAsia="en-AU"/>
        </w:rPr>
        <w:t>and</w:t>
      </w:r>
      <w:r w:rsidRPr="002704CE">
        <w:rPr>
          <w:rFonts w:ascii="Arial" w:eastAsia="Times New Roman" w:hAnsi="Arial" w:cs="Arial"/>
          <w:i/>
          <w:sz w:val="20"/>
          <w:szCs w:val="20"/>
          <w:lang w:eastAsia="en-AU"/>
        </w:rPr>
        <w:t xml:space="preserve"> Perioperative Management for Haemophilia B Patients; and Treatment of Bleeding Episodes in Subjects with Haemophilia B with the Long-Lasting Recombinant Factor IX Fc Fusion Protein (</w:t>
      </w:r>
      <w:proofErr w:type="spellStart"/>
      <w:r w:rsidRPr="002704CE">
        <w:rPr>
          <w:rFonts w:ascii="Arial" w:eastAsia="Times New Roman" w:hAnsi="Arial" w:cs="Arial"/>
          <w:i/>
          <w:sz w:val="20"/>
          <w:szCs w:val="20"/>
          <w:lang w:eastAsia="en-AU"/>
        </w:rPr>
        <w:t>rFIXFc</w:t>
      </w:r>
      <w:proofErr w:type="spellEnd"/>
      <w:r w:rsidRPr="002704CE">
        <w:rPr>
          <w:rFonts w:ascii="Arial" w:eastAsia="Times New Roman" w:hAnsi="Arial" w:cs="Arial"/>
          <w:i/>
          <w:sz w:val="20"/>
          <w:szCs w:val="20"/>
          <w:lang w:eastAsia="en-AU"/>
        </w:rPr>
        <w:t xml:space="preserve">) in the Phase 3 B-LONG Study </w:t>
      </w:r>
    </w:p>
  </w:footnote>
  <w:footnote w:id="7">
    <w:p w:rsidR="00F777E7" w:rsidRDefault="00F777E7" w:rsidP="00F777E7">
      <w:pPr>
        <w:pStyle w:val="Heading1"/>
        <w:spacing w:before="0"/>
      </w:pPr>
      <w:r w:rsidRPr="00F777E7">
        <w:rPr>
          <w:rStyle w:val="FootnoteReference"/>
          <w:rFonts w:ascii="Arial" w:hAnsi="Arial" w:cs="Arial"/>
          <w:sz w:val="20"/>
          <w:szCs w:val="20"/>
        </w:rPr>
        <w:footnoteRef/>
      </w:r>
      <w:r w:rsidRPr="00F777E7">
        <w:rPr>
          <w:rFonts w:ascii="Arial" w:hAnsi="Arial" w:cs="Arial"/>
          <w:sz w:val="20"/>
          <w:szCs w:val="20"/>
        </w:rPr>
        <w:t xml:space="preserve"> </w:t>
      </w:r>
      <w:r w:rsidRPr="00F777E7">
        <w:rPr>
          <w:rFonts w:ascii="Arial" w:hAnsi="Arial" w:cs="Arial"/>
          <w:b w:val="0"/>
          <w:i/>
          <w:color w:val="auto"/>
          <w:sz w:val="20"/>
          <w:szCs w:val="20"/>
        </w:rPr>
        <w:t xml:space="preserve">A Platelet-Targeted Factor </w:t>
      </w:r>
      <w:proofErr w:type="spellStart"/>
      <w:r w:rsidRPr="00F777E7">
        <w:rPr>
          <w:rFonts w:ascii="Arial" w:hAnsi="Arial" w:cs="Arial"/>
          <w:b w:val="0"/>
          <w:i/>
          <w:color w:val="auto"/>
          <w:sz w:val="20"/>
          <w:szCs w:val="20"/>
        </w:rPr>
        <w:t>VIIa</w:t>
      </w:r>
      <w:proofErr w:type="spellEnd"/>
      <w:r w:rsidRPr="00F777E7">
        <w:rPr>
          <w:rFonts w:ascii="Arial" w:hAnsi="Arial" w:cs="Arial"/>
          <w:b w:val="0"/>
          <w:i/>
          <w:color w:val="auto"/>
          <w:sz w:val="20"/>
          <w:szCs w:val="20"/>
        </w:rPr>
        <w:t xml:space="preserve"> – XTEN Fusion Protein with Increased Circulating Half-Life and Improved Clotting Activity</w:t>
      </w:r>
    </w:p>
  </w:footnote>
  <w:footnote w:id="8">
    <w:p w:rsidR="00603DE3" w:rsidRDefault="00603DE3" w:rsidP="00603DE3">
      <w:pPr>
        <w:pStyle w:val="Heading1"/>
        <w:spacing w:before="0" w:line="240" w:lineRule="auto"/>
      </w:pPr>
      <w:r w:rsidRPr="000B4544">
        <w:rPr>
          <w:rStyle w:val="FootnoteReference"/>
          <w:rFonts w:ascii="Arial" w:hAnsi="Arial" w:cs="Arial"/>
          <w:sz w:val="20"/>
          <w:szCs w:val="20"/>
        </w:rPr>
        <w:footnoteRef/>
      </w:r>
      <w:r w:rsidRPr="000B4544">
        <w:rPr>
          <w:rFonts w:ascii="Arial" w:hAnsi="Arial" w:cs="Arial"/>
          <w:sz w:val="20"/>
          <w:szCs w:val="20"/>
        </w:rPr>
        <w:t xml:space="preserve"> </w:t>
      </w:r>
      <w:r w:rsidRPr="000B4544">
        <w:rPr>
          <w:rFonts w:ascii="Arial" w:hAnsi="Arial" w:cs="Arial"/>
          <w:b w:val="0"/>
          <w:color w:val="auto"/>
          <w:sz w:val="20"/>
          <w:szCs w:val="20"/>
        </w:rPr>
        <w:t>PROTECT</w:t>
      </w:r>
      <w:r w:rsidRPr="00603DE3">
        <w:rPr>
          <w:rFonts w:ascii="Arial" w:hAnsi="Arial" w:cs="Arial"/>
          <w:b w:val="0"/>
          <w:color w:val="auto"/>
          <w:sz w:val="20"/>
          <w:szCs w:val="20"/>
        </w:rPr>
        <w:t xml:space="preserve"> = </w:t>
      </w:r>
      <w:proofErr w:type="spellStart"/>
      <w:r w:rsidRPr="00603DE3">
        <w:rPr>
          <w:rFonts w:ascii="Arial" w:hAnsi="Arial" w:cs="Arial"/>
          <w:b w:val="0"/>
          <w:color w:val="auto"/>
          <w:sz w:val="20"/>
          <w:szCs w:val="20"/>
        </w:rPr>
        <w:t>PROphylaxis</w:t>
      </w:r>
      <w:proofErr w:type="spellEnd"/>
      <w:r w:rsidRPr="00603DE3">
        <w:rPr>
          <w:rFonts w:ascii="Arial" w:hAnsi="Arial" w:cs="Arial"/>
          <w:b w:val="0"/>
          <w:color w:val="auto"/>
          <w:sz w:val="20"/>
          <w:szCs w:val="20"/>
        </w:rPr>
        <w:t xml:space="preserve"> in haemophilia A </w:t>
      </w:r>
      <w:proofErr w:type="spellStart"/>
      <w:r w:rsidRPr="00603DE3">
        <w:rPr>
          <w:rFonts w:ascii="Arial" w:hAnsi="Arial" w:cs="Arial"/>
          <w:b w:val="0"/>
          <w:color w:val="auto"/>
          <w:sz w:val="20"/>
          <w:szCs w:val="20"/>
        </w:rPr>
        <w:t>patienTs</w:t>
      </w:r>
      <w:proofErr w:type="spellEnd"/>
      <w:r w:rsidRPr="00603DE3">
        <w:rPr>
          <w:rFonts w:ascii="Arial" w:hAnsi="Arial" w:cs="Arial"/>
          <w:b w:val="0"/>
          <w:color w:val="auto"/>
          <w:sz w:val="20"/>
          <w:szCs w:val="20"/>
        </w:rPr>
        <w:t xml:space="preserve"> via directly </w:t>
      </w:r>
      <w:proofErr w:type="spellStart"/>
      <w:r w:rsidRPr="00603DE3">
        <w:rPr>
          <w:rFonts w:ascii="Arial" w:hAnsi="Arial" w:cs="Arial"/>
          <w:b w:val="0"/>
          <w:color w:val="auto"/>
          <w:sz w:val="20"/>
          <w:szCs w:val="20"/>
        </w:rPr>
        <w:t>pEgylated</w:t>
      </w:r>
      <w:proofErr w:type="spellEnd"/>
      <w:r w:rsidRPr="00603DE3">
        <w:rPr>
          <w:rFonts w:ascii="Arial" w:hAnsi="Arial" w:cs="Arial"/>
          <w:b w:val="0"/>
          <w:color w:val="auto"/>
          <w:sz w:val="20"/>
          <w:szCs w:val="20"/>
        </w:rPr>
        <w:t xml:space="preserve"> long-</w:t>
      </w:r>
      <w:proofErr w:type="spellStart"/>
      <w:r w:rsidRPr="00603DE3">
        <w:rPr>
          <w:rFonts w:ascii="Arial" w:hAnsi="Arial" w:cs="Arial"/>
          <w:b w:val="0"/>
          <w:color w:val="auto"/>
          <w:sz w:val="20"/>
          <w:szCs w:val="20"/>
        </w:rPr>
        <w:t>aCTing</w:t>
      </w:r>
      <w:proofErr w:type="spellEnd"/>
      <w:r w:rsidRPr="00603DE3">
        <w:rPr>
          <w:rFonts w:ascii="Arial" w:hAnsi="Arial" w:cs="Arial"/>
          <w:b w:val="0"/>
          <w:color w:val="auto"/>
          <w:sz w:val="20"/>
          <w:szCs w:val="20"/>
        </w:rPr>
        <w:t xml:space="preserve"> rFVIII.</w:t>
      </w:r>
    </w:p>
  </w:footnote>
  <w:footnote w:id="9">
    <w:p w:rsidR="00402ED4" w:rsidRPr="008E50EC" w:rsidRDefault="00402ED4" w:rsidP="00AE395E">
      <w:pPr>
        <w:pStyle w:val="NormalWeb"/>
        <w:spacing w:before="0" w:beforeAutospacing="0" w:after="0" w:afterAutospacing="0"/>
        <w:rPr>
          <w:rFonts w:ascii="Arial" w:hAnsi="Arial" w:cs="Arial"/>
          <w:sz w:val="20"/>
          <w:szCs w:val="20"/>
        </w:rPr>
      </w:pPr>
      <w:r>
        <w:rPr>
          <w:rStyle w:val="FootnoteReference"/>
        </w:rPr>
        <w:footnoteRef/>
      </w:r>
      <w:r>
        <w:t xml:space="preserve"> </w:t>
      </w:r>
      <w:r w:rsidRPr="008E50EC">
        <w:rPr>
          <w:rFonts w:ascii="Arial" w:hAnsi="Arial" w:cs="Arial"/>
          <w:sz w:val="20"/>
          <w:szCs w:val="20"/>
        </w:rPr>
        <w:t xml:space="preserve">The Phase I results were published in the print edition of the journal </w:t>
      </w:r>
      <w:r w:rsidRPr="008E50EC">
        <w:rPr>
          <w:rFonts w:ascii="Arial" w:hAnsi="Arial" w:cs="Arial"/>
          <w:i/>
          <w:iCs/>
          <w:sz w:val="20"/>
          <w:szCs w:val="20"/>
        </w:rPr>
        <w:t>Blood</w:t>
      </w:r>
      <w:r w:rsidRPr="008E50EC">
        <w:rPr>
          <w:rFonts w:ascii="Arial" w:hAnsi="Arial" w:cs="Arial"/>
          <w:sz w:val="20"/>
          <w:szCs w:val="20"/>
        </w:rPr>
        <w:t xml:space="preserve"> on April 25th, 2013.</w:t>
      </w:r>
      <w:r w:rsidR="00AE395E" w:rsidRPr="008E50EC">
        <w:rPr>
          <w:rFonts w:ascii="Arial" w:hAnsi="Arial" w:cs="Arial"/>
          <w:sz w:val="20"/>
          <w:szCs w:val="20"/>
        </w:rPr>
        <w:t xml:space="preserve"> </w:t>
      </w:r>
    </w:p>
  </w:footnote>
  <w:footnote w:id="10">
    <w:p w:rsidR="001E52D7" w:rsidRPr="008E50EC" w:rsidRDefault="001E52D7" w:rsidP="001E52D7">
      <w:pPr>
        <w:pStyle w:val="FootnoteText"/>
        <w:rPr>
          <w:rFonts w:ascii="Arial" w:hAnsi="Arial" w:cs="Arial"/>
          <w:i/>
        </w:rPr>
      </w:pPr>
      <w:r w:rsidRPr="008E50EC">
        <w:rPr>
          <w:rStyle w:val="FootnoteReference"/>
          <w:rFonts w:ascii="Arial" w:hAnsi="Arial" w:cs="Arial"/>
        </w:rPr>
        <w:footnoteRef/>
      </w:r>
      <w:r w:rsidRPr="008E50EC">
        <w:rPr>
          <w:rFonts w:ascii="Arial" w:hAnsi="Arial" w:cs="Arial"/>
        </w:rPr>
        <w:t xml:space="preserve"> Results of the study were published in the </w:t>
      </w:r>
      <w:r w:rsidRPr="008E50EC">
        <w:rPr>
          <w:rFonts w:ascii="Arial" w:hAnsi="Arial" w:cs="Arial"/>
          <w:i/>
        </w:rPr>
        <w:t>New England Journal of Medicine.</w:t>
      </w:r>
    </w:p>
  </w:footnote>
  <w:footnote w:id="11">
    <w:p w:rsidR="00774B25" w:rsidRPr="008E50EC" w:rsidRDefault="00774B25" w:rsidP="00774B25">
      <w:pPr>
        <w:pStyle w:val="NormalWeb"/>
        <w:spacing w:before="0" w:beforeAutospacing="0" w:after="0" w:afterAutospacing="0"/>
        <w:rPr>
          <w:rFonts w:ascii="Arial" w:hAnsi="Arial" w:cs="Arial"/>
          <w:sz w:val="20"/>
          <w:szCs w:val="20"/>
        </w:rPr>
      </w:pPr>
      <w:r w:rsidRPr="008E50EC">
        <w:rPr>
          <w:rStyle w:val="FootnoteReference"/>
          <w:rFonts w:ascii="Arial" w:hAnsi="Arial" w:cs="Arial"/>
          <w:sz w:val="20"/>
          <w:szCs w:val="20"/>
        </w:rPr>
        <w:footnoteRef/>
      </w:r>
      <w:r w:rsidRPr="008E50EC">
        <w:rPr>
          <w:rFonts w:ascii="Arial" w:hAnsi="Arial" w:cs="Arial"/>
          <w:sz w:val="20"/>
          <w:szCs w:val="20"/>
        </w:rPr>
        <w:t xml:space="preserve"> </w:t>
      </w:r>
      <w:proofErr w:type="gramStart"/>
      <w:r w:rsidRPr="008E50EC">
        <w:rPr>
          <w:rFonts w:ascii="Arial" w:hAnsi="Arial" w:cs="Arial"/>
          <w:sz w:val="20"/>
          <w:szCs w:val="20"/>
        </w:rPr>
        <w:t>Reported at the Association for Professionals in Infection Control and Epidemiology (APIC) 2013 Annual Meeting: Abstract 9-434.</w:t>
      </w:r>
      <w:proofErr w:type="gramEnd"/>
      <w:r w:rsidRPr="008E50EC">
        <w:rPr>
          <w:rFonts w:ascii="Arial" w:hAnsi="Arial" w:cs="Arial"/>
          <w:sz w:val="20"/>
          <w:szCs w:val="20"/>
        </w:rPr>
        <w:t xml:space="preserve"> </w:t>
      </w:r>
      <w:proofErr w:type="gramStart"/>
      <w:r w:rsidRPr="008E50EC">
        <w:rPr>
          <w:rFonts w:ascii="Arial" w:hAnsi="Arial" w:cs="Arial"/>
          <w:sz w:val="20"/>
          <w:szCs w:val="20"/>
        </w:rPr>
        <w:t>Presented June 9, 2013.</w:t>
      </w:r>
      <w:proofErr w:type="gramEnd"/>
    </w:p>
  </w:footnote>
  <w:footnote w:id="12">
    <w:p w:rsidR="00BF6BEC" w:rsidRDefault="00BF6BEC" w:rsidP="00BF6BEC">
      <w:pPr>
        <w:pStyle w:val="NormalWeb"/>
        <w:spacing w:before="0" w:beforeAutospacing="0" w:after="0" w:afterAutospacing="0"/>
      </w:pPr>
      <w:r>
        <w:rPr>
          <w:rStyle w:val="FootnoteReference"/>
        </w:rPr>
        <w:footnoteRef/>
      </w:r>
      <w:r>
        <w:t xml:space="preserve"> </w:t>
      </w:r>
      <w:r w:rsidRPr="0072590F">
        <w:rPr>
          <w:rFonts w:ascii="Arial" w:hAnsi="Arial" w:cs="Arial"/>
          <w:sz w:val="20"/>
          <w:szCs w:val="20"/>
        </w:rPr>
        <w:t xml:space="preserve">"Factor VIII inhibitors: von </w:t>
      </w:r>
      <w:proofErr w:type="spellStart"/>
      <w:r w:rsidRPr="0072590F">
        <w:rPr>
          <w:rFonts w:ascii="Arial" w:hAnsi="Arial" w:cs="Arial"/>
          <w:sz w:val="20"/>
          <w:szCs w:val="20"/>
        </w:rPr>
        <w:t>Willebrand</w:t>
      </w:r>
      <w:proofErr w:type="spellEnd"/>
      <w:r w:rsidRPr="0072590F">
        <w:rPr>
          <w:rFonts w:ascii="Arial" w:hAnsi="Arial" w:cs="Arial"/>
          <w:sz w:val="20"/>
          <w:szCs w:val="20"/>
        </w:rPr>
        <w:t xml:space="preserve"> factor makes a difference in vitro and in vivo" by Shi Q, </w:t>
      </w:r>
      <w:proofErr w:type="spellStart"/>
      <w:r w:rsidRPr="0072590F">
        <w:rPr>
          <w:rFonts w:ascii="Arial" w:hAnsi="Arial" w:cs="Arial"/>
          <w:sz w:val="20"/>
          <w:szCs w:val="20"/>
        </w:rPr>
        <w:t>Kuether</w:t>
      </w:r>
      <w:proofErr w:type="spellEnd"/>
      <w:r w:rsidRPr="0072590F">
        <w:rPr>
          <w:rFonts w:ascii="Arial" w:hAnsi="Arial" w:cs="Arial"/>
          <w:sz w:val="20"/>
          <w:szCs w:val="20"/>
        </w:rPr>
        <w:t xml:space="preserve"> EL, Schroeder JA, Perry CL, Fahs SA, Cox Gill J, Montgomery RR;  "A murine model to characterize the antithrombotic effect of molecules targeting human von </w:t>
      </w:r>
      <w:proofErr w:type="spellStart"/>
      <w:r w:rsidRPr="0072590F">
        <w:rPr>
          <w:rFonts w:ascii="Arial" w:hAnsi="Arial" w:cs="Arial"/>
          <w:sz w:val="20"/>
          <w:szCs w:val="20"/>
        </w:rPr>
        <w:t>Willebrand</w:t>
      </w:r>
      <w:proofErr w:type="spellEnd"/>
      <w:r w:rsidRPr="0072590F">
        <w:rPr>
          <w:rFonts w:ascii="Arial" w:hAnsi="Arial" w:cs="Arial"/>
          <w:sz w:val="20"/>
          <w:szCs w:val="20"/>
        </w:rPr>
        <w:t xml:space="preserve"> factor" by </w:t>
      </w:r>
      <w:proofErr w:type="spellStart"/>
      <w:r w:rsidRPr="0072590F">
        <w:rPr>
          <w:rFonts w:ascii="Arial" w:hAnsi="Arial" w:cs="Arial"/>
          <w:sz w:val="20"/>
          <w:szCs w:val="20"/>
        </w:rPr>
        <w:t>Navarrete</w:t>
      </w:r>
      <w:proofErr w:type="spellEnd"/>
      <w:r w:rsidRPr="0072590F">
        <w:rPr>
          <w:rFonts w:ascii="Arial" w:hAnsi="Arial" w:cs="Arial"/>
          <w:sz w:val="20"/>
          <w:szCs w:val="20"/>
        </w:rPr>
        <w:t xml:space="preserve"> AM, </w:t>
      </w:r>
      <w:proofErr w:type="spellStart"/>
      <w:r w:rsidRPr="0072590F">
        <w:rPr>
          <w:rFonts w:ascii="Arial" w:hAnsi="Arial" w:cs="Arial"/>
          <w:sz w:val="20"/>
          <w:szCs w:val="20"/>
        </w:rPr>
        <w:t>Casari</w:t>
      </w:r>
      <w:proofErr w:type="spellEnd"/>
      <w:r w:rsidRPr="0072590F">
        <w:rPr>
          <w:rFonts w:ascii="Arial" w:hAnsi="Arial" w:cs="Arial"/>
          <w:sz w:val="20"/>
          <w:szCs w:val="20"/>
        </w:rPr>
        <w:t xml:space="preserve"> C, Legendre P, Marx I, Hu JR, </w:t>
      </w:r>
      <w:proofErr w:type="spellStart"/>
      <w:r w:rsidRPr="0072590F">
        <w:rPr>
          <w:rFonts w:ascii="Arial" w:hAnsi="Arial" w:cs="Arial"/>
          <w:sz w:val="20"/>
          <w:szCs w:val="20"/>
        </w:rPr>
        <w:t>Lenting</w:t>
      </w:r>
      <w:proofErr w:type="spellEnd"/>
      <w:r w:rsidRPr="0072590F">
        <w:rPr>
          <w:rFonts w:ascii="Arial" w:hAnsi="Arial" w:cs="Arial"/>
          <w:sz w:val="20"/>
          <w:szCs w:val="20"/>
        </w:rPr>
        <w:t xml:space="preserve"> PJ, Christophe OD, Denis CV; and  </w:t>
      </w:r>
      <w:r w:rsidRPr="0072590F">
        <w:rPr>
          <w:rFonts w:ascii="Arial" w:eastAsia="Times New Roman" w:hAnsi="Arial" w:cs="Arial"/>
          <w:sz w:val="20"/>
          <w:szCs w:val="20"/>
        </w:rPr>
        <w:t xml:space="preserve">"Characterisation of von </w:t>
      </w:r>
      <w:proofErr w:type="spellStart"/>
      <w:r w:rsidRPr="0072590F">
        <w:rPr>
          <w:rFonts w:ascii="Arial" w:eastAsia="Times New Roman" w:hAnsi="Arial" w:cs="Arial"/>
          <w:sz w:val="20"/>
          <w:szCs w:val="20"/>
        </w:rPr>
        <w:t>Willebrand</w:t>
      </w:r>
      <w:proofErr w:type="spellEnd"/>
      <w:r w:rsidRPr="0072590F">
        <w:rPr>
          <w:rFonts w:ascii="Arial" w:eastAsia="Times New Roman" w:hAnsi="Arial" w:cs="Arial"/>
          <w:sz w:val="20"/>
          <w:szCs w:val="20"/>
        </w:rPr>
        <w:t xml:space="preserve"> factor A1 domain mutants I1416N and I1416T: correlation of clinical phenotype with flow-based platelet adhesion" by McKinnon TA, Nowak AA, Cutler J, Riddell AF, </w:t>
      </w:r>
      <w:proofErr w:type="spellStart"/>
      <w:r w:rsidRPr="0072590F">
        <w:rPr>
          <w:rFonts w:ascii="Arial" w:eastAsia="Times New Roman" w:hAnsi="Arial" w:cs="Arial"/>
          <w:sz w:val="20"/>
          <w:szCs w:val="20"/>
        </w:rPr>
        <w:t>Laffan</w:t>
      </w:r>
      <w:proofErr w:type="spellEnd"/>
      <w:r w:rsidRPr="0072590F">
        <w:rPr>
          <w:rFonts w:ascii="Arial" w:eastAsia="Times New Roman" w:hAnsi="Arial" w:cs="Arial"/>
          <w:sz w:val="20"/>
          <w:szCs w:val="20"/>
        </w:rPr>
        <w:t xml:space="preserve"> MA, Millar CM. </w:t>
      </w:r>
    </w:p>
  </w:footnote>
  <w:footnote w:id="13">
    <w:p w:rsidR="004C4710" w:rsidRPr="00670140" w:rsidRDefault="004C4710" w:rsidP="004C4710">
      <w:pPr>
        <w:pStyle w:val="FootnoteText"/>
        <w:rPr>
          <w:rFonts w:ascii="Arial" w:hAnsi="Arial" w:cs="Arial"/>
        </w:rPr>
      </w:pPr>
      <w:r w:rsidRPr="00670140">
        <w:rPr>
          <w:rStyle w:val="FootnoteReference"/>
          <w:rFonts w:ascii="Arial" w:hAnsi="Arial" w:cs="Arial"/>
        </w:rPr>
        <w:footnoteRef/>
      </w:r>
      <w:r w:rsidRPr="00670140">
        <w:rPr>
          <w:rFonts w:ascii="Arial" w:hAnsi="Arial" w:cs="Arial"/>
        </w:rPr>
        <w:t xml:space="preserve"> </w:t>
      </w:r>
      <w:hyperlink r:id="rId1" w:history="1">
        <w:r w:rsidRPr="00670140">
          <w:rPr>
            <w:rStyle w:val="Hyperlink"/>
            <w:rFonts w:ascii="Arial" w:hAnsi="Arial" w:cs="Arial"/>
          </w:rPr>
          <w:t>http://o.canada.com/2013/07/12/blood-transfusions/</w:t>
        </w:r>
      </w:hyperlink>
    </w:p>
  </w:footnote>
  <w:footnote w:id="14">
    <w:p w:rsidR="004C4710" w:rsidRPr="000A0558" w:rsidRDefault="004C4710" w:rsidP="004C4710">
      <w:pPr>
        <w:pStyle w:val="FootnoteText"/>
        <w:rPr>
          <w:rFonts w:ascii="Arial" w:hAnsi="Arial" w:cs="Arial"/>
        </w:rPr>
      </w:pPr>
      <w:r>
        <w:rPr>
          <w:rStyle w:val="FootnoteReference"/>
        </w:rPr>
        <w:footnoteRef/>
      </w:r>
      <w:r>
        <w:t xml:space="preserve"> </w:t>
      </w:r>
      <w:hyperlink r:id="rId2" w:history="1">
        <w:r w:rsidRPr="000A0558">
          <w:rPr>
            <w:rStyle w:val="Hyperlink"/>
            <w:rFonts w:ascii="Arial" w:hAnsi="Arial" w:cs="Arial"/>
          </w:rPr>
          <w:t>http://o.canada.com/2013/07/12/blood-hazards/</w:t>
        </w:r>
      </w:hyperlink>
      <w:r w:rsidRPr="000A0558">
        <w:rPr>
          <w:rFonts w:ascii="Arial" w:hAnsi="Arial" w:cs="Arial"/>
          <w:color w:val="204A87"/>
        </w:rPr>
        <w:t xml:space="preserve"> </w:t>
      </w:r>
    </w:p>
  </w:footnote>
  <w:footnote w:id="15">
    <w:p w:rsidR="004C4710" w:rsidRPr="005A5D3F" w:rsidRDefault="004C4710" w:rsidP="004C4710">
      <w:pPr>
        <w:pStyle w:val="FootnoteText"/>
        <w:rPr>
          <w:rFonts w:ascii="Arial" w:hAnsi="Arial" w:cs="Arial"/>
        </w:rPr>
      </w:pPr>
      <w:r>
        <w:rPr>
          <w:rStyle w:val="FootnoteReference"/>
        </w:rPr>
        <w:footnoteRef/>
      </w:r>
      <w:r>
        <w:t xml:space="preserve"> </w:t>
      </w:r>
      <w:r w:rsidRPr="005A5D3F">
        <w:rPr>
          <w:rFonts w:ascii="Arial" w:hAnsi="Arial" w:cs="Arial"/>
        </w:rPr>
        <w:t xml:space="preserve">Lawrence Goodnough, writing in the May 25 issue of </w:t>
      </w:r>
      <w:r w:rsidRPr="005A5D3F">
        <w:rPr>
          <w:rFonts w:ascii="Arial" w:hAnsi="Arial" w:cs="Arial"/>
          <w:i/>
        </w:rPr>
        <w:t>The Lancet</w:t>
      </w:r>
    </w:p>
  </w:footnote>
  <w:footnote w:id="16">
    <w:p w:rsidR="004C4710" w:rsidRPr="0015121F" w:rsidRDefault="004C4710" w:rsidP="004C4710">
      <w:pPr>
        <w:spacing w:after="0" w:line="240" w:lineRule="auto"/>
        <w:rPr>
          <w:rFonts w:ascii="Arial" w:hAnsi="Arial" w:cs="Arial"/>
          <w:sz w:val="20"/>
          <w:szCs w:val="20"/>
        </w:rPr>
      </w:pPr>
      <w:r w:rsidRPr="00D45EF6">
        <w:rPr>
          <w:rStyle w:val="FootnoteReference"/>
          <w:rFonts w:ascii="Arial" w:hAnsi="Arial" w:cs="Arial"/>
          <w:sz w:val="20"/>
          <w:szCs w:val="20"/>
        </w:rPr>
        <w:footnoteRef/>
      </w:r>
      <w:r w:rsidRPr="00D45EF6">
        <w:rPr>
          <w:rFonts w:ascii="Arial" w:hAnsi="Arial" w:cs="Arial"/>
          <w:sz w:val="20"/>
          <w:szCs w:val="20"/>
        </w:rPr>
        <w:t xml:space="preserve"> </w:t>
      </w:r>
      <w:hyperlink r:id="rId3" w:history="1">
        <w:r w:rsidRPr="0015121F">
          <w:rPr>
            <w:rStyle w:val="Hyperlink"/>
            <w:rFonts w:ascii="Arial" w:hAnsi="Arial" w:cs="Arial"/>
            <w:color w:val="auto"/>
            <w:sz w:val="20"/>
            <w:szCs w:val="20"/>
            <w:u w:val="none"/>
          </w:rPr>
          <w:t>Lawrence T Goodnough</w:t>
        </w:r>
      </w:hyperlink>
      <w:r w:rsidRPr="0015121F">
        <w:rPr>
          <w:rStyle w:val="ja50-ce-author"/>
          <w:rFonts w:ascii="Arial" w:hAnsi="Arial" w:cs="Arial"/>
          <w:sz w:val="20"/>
          <w:szCs w:val="20"/>
        </w:rPr>
        <w:t xml:space="preserve">, </w:t>
      </w:r>
      <w:hyperlink r:id="rId4" w:history="1">
        <w:r w:rsidRPr="0015121F">
          <w:rPr>
            <w:rStyle w:val="Hyperlink"/>
            <w:rFonts w:ascii="Arial" w:hAnsi="Arial" w:cs="Arial"/>
            <w:color w:val="auto"/>
            <w:sz w:val="20"/>
            <w:szCs w:val="20"/>
            <w:u w:val="none"/>
          </w:rPr>
          <w:t>Jerrold H Levy</w:t>
        </w:r>
      </w:hyperlink>
      <w:r w:rsidRPr="0015121F">
        <w:rPr>
          <w:rStyle w:val="ja50-ce-author"/>
          <w:rFonts w:ascii="Arial" w:hAnsi="Arial" w:cs="Arial"/>
          <w:sz w:val="20"/>
          <w:szCs w:val="20"/>
        </w:rPr>
        <w:t xml:space="preserve">, </w:t>
      </w:r>
      <w:hyperlink r:id="rId5" w:history="1">
        <w:r w:rsidRPr="0015121F">
          <w:rPr>
            <w:rStyle w:val="Hyperlink"/>
            <w:rFonts w:ascii="Arial" w:hAnsi="Arial" w:cs="Arial"/>
            <w:color w:val="auto"/>
            <w:sz w:val="20"/>
            <w:szCs w:val="20"/>
            <w:u w:val="none"/>
          </w:rPr>
          <w:t>Michael F Murphy</w:t>
        </w:r>
      </w:hyperlink>
      <w:r w:rsidRPr="0015121F">
        <w:rPr>
          <w:rStyle w:val="Hyperlink"/>
          <w:rFonts w:ascii="Arial" w:hAnsi="Arial" w:cs="Arial"/>
          <w:color w:val="auto"/>
          <w:sz w:val="20"/>
          <w:szCs w:val="20"/>
          <w:u w:val="none"/>
        </w:rPr>
        <w:t>, “</w:t>
      </w:r>
      <w:r w:rsidRPr="0015121F">
        <w:rPr>
          <w:rFonts w:ascii="Arial" w:eastAsia="Times New Roman" w:hAnsi="Arial" w:cs="Arial"/>
          <w:sz w:val="20"/>
          <w:szCs w:val="20"/>
        </w:rPr>
        <w:t>Concepts of blood transfusion in adults</w:t>
      </w:r>
      <w:r w:rsidRPr="0015121F">
        <w:rPr>
          <w:rFonts w:ascii="Arial" w:eastAsia="Times New Roman" w:hAnsi="Arial" w:cs="Arial"/>
          <w:b/>
          <w:sz w:val="20"/>
          <w:szCs w:val="20"/>
        </w:rPr>
        <w:t>”,</w:t>
      </w:r>
      <w:r w:rsidRPr="0015121F">
        <w:rPr>
          <w:rFonts w:ascii="Arial" w:hAnsi="Arial" w:cs="Arial"/>
          <w:sz w:val="20"/>
          <w:szCs w:val="20"/>
        </w:rPr>
        <w:t xml:space="preserve"> The Lancet, </w:t>
      </w:r>
      <w:hyperlink r:id="rId6" w:history="1">
        <w:r w:rsidRPr="0015121F">
          <w:rPr>
            <w:rStyle w:val="Hyperlink"/>
            <w:rFonts w:ascii="Arial" w:hAnsi="Arial" w:cs="Arial"/>
            <w:color w:val="auto"/>
            <w:sz w:val="20"/>
            <w:szCs w:val="20"/>
            <w:u w:val="none"/>
          </w:rPr>
          <w:t>Volume 381, Issue 9880</w:t>
        </w:r>
      </w:hyperlink>
      <w:r w:rsidRPr="0015121F">
        <w:rPr>
          <w:rFonts w:ascii="Arial" w:hAnsi="Arial" w:cs="Arial"/>
          <w:sz w:val="20"/>
          <w:szCs w:val="20"/>
        </w:rPr>
        <w:t>, Pages 1845 - 1854, 25 May 2013 doi:10.1016/S0140-6736(13)606</w:t>
      </w:r>
      <w:bookmarkStart w:id="15" w:name="_GoBack"/>
      <w:bookmarkEnd w:id="15"/>
      <w:r w:rsidRPr="0015121F">
        <w:rPr>
          <w:rFonts w:ascii="Arial" w:hAnsi="Arial" w:cs="Arial"/>
          <w:sz w:val="20"/>
          <w:szCs w:val="20"/>
        </w:rPr>
        <w:t>50-9</w:t>
      </w:r>
      <w:r w:rsidRPr="0015121F">
        <w:rPr>
          <w:rFonts w:ascii="Arial" w:hAnsi="Arial" w:cs="Arial"/>
          <w:noProof/>
          <w:sz w:val="20"/>
          <w:szCs w:val="20"/>
          <w:lang w:eastAsia="en-AU"/>
        </w:rPr>
        <w:drawing>
          <wp:inline distT="0" distB="0" distL="0" distR="0" wp14:anchorId="3FC687E0" wp14:editId="3E576701">
            <wp:extent cx="7620" cy="7620"/>
            <wp:effectExtent l="0" t="0" r="0" b="0"/>
            <wp:docPr id="1" name="Picture 1" descr="cid:image001.gif@01CE6DC5.E200C810">
              <a:hlinkClick xmlns:a="http://schemas.openxmlformats.org/drawingml/2006/main" r:id="rId7" tgtFrame="new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gif@01CE6DC5.E200C8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5121F">
        <w:rPr>
          <w:rFonts w:ascii="Arial" w:hAnsi="Arial" w:cs="Arial"/>
          <w:sz w:val="20"/>
          <w:szCs w:val="20"/>
        </w:rPr>
        <w:t xml:space="preserve">.  </w:t>
      </w:r>
      <w:bookmarkStart w:id="16" w:name="back-aff3"/>
      <w:bookmarkEnd w:id="16"/>
    </w:p>
  </w:footnote>
  <w:footnote w:id="17">
    <w:p w:rsidR="0022403C" w:rsidRPr="00E67CF5" w:rsidRDefault="0022403C" w:rsidP="00E67CF5">
      <w:pPr>
        <w:shd w:val="clear" w:color="auto" w:fill="FFFFFF"/>
        <w:spacing w:after="0" w:line="240" w:lineRule="auto"/>
        <w:rPr>
          <w:rFonts w:ascii="Arial" w:hAnsi="Arial" w:cs="Arial"/>
          <w:vanish/>
          <w:sz w:val="20"/>
          <w:szCs w:val="20"/>
        </w:rPr>
      </w:pPr>
      <w:r w:rsidRPr="00E67CF5">
        <w:rPr>
          <w:rStyle w:val="FootnoteReference"/>
          <w:rFonts w:ascii="Arial" w:hAnsi="Arial" w:cs="Arial"/>
          <w:sz w:val="20"/>
          <w:szCs w:val="20"/>
        </w:rPr>
        <w:footnoteRef/>
      </w:r>
      <w:r w:rsidRPr="00E67CF5">
        <w:rPr>
          <w:rFonts w:ascii="Arial" w:hAnsi="Arial" w:cs="Arial"/>
          <w:sz w:val="20"/>
          <w:szCs w:val="20"/>
        </w:rPr>
        <w:t xml:space="preserve">  </w:t>
      </w:r>
      <w:hyperlink r:id="rId10" w:tooltip="Search for all articles by this author" w:history="1">
        <w:r w:rsidRPr="00E67CF5">
          <w:rPr>
            <w:rStyle w:val="Hyperlink"/>
            <w:rFonts w:ascii="Arial" w:hAnsi="Arial" w:cs="Arial"/>
            <w:color w:val="auto"/>
            <w:sz w:val="20"/>
            <w:szCs w:val="20"/>
            <w:u w:val="none"/>
          </w:rPr>
          <w:t xml:space="preserve">Ian D. </w:t>
        </w:r>
        <w:proofErr w:type="spellStart"/>
        <w:r w:rsidRPr="00E67CF5">
          <w:rPr>
            <w:rStyle w:val="Hyperlink"/>
            <w:rFonts w:ascii="Arial" w:hAnsi="Arial" w:cs="Arial"/>
            <w:color w:val="auto"/>
            <w:sz w:val="20"/>
            <w:szCs w:val="20"/>
            <w:u w:val="none"/>
          </w:rPr>
          <w:t>Augustin</w:t>
        </w:r>
        <w:proofErr w:type="spellEnd"/>
      </w:hyperlink>
      <w:r w:rsidRPr="00E67CF5">
        <w:rPr>
          <w:rFonts w:ascii="Arial" w:hAnsi="Arial" w:cs="Arial"/>
          <w:sz w:val="20"/>
          <w:szCs w:val="20"/>
        </w:rPr>
        <w:t xml:space="preserve"> et al, “ Association Between Chronic Kidney Disease and Blood Transfusions for Knee and Hip </w:t>
      </w:r>
      <w:proofErr w:type="spellStart"/>
      <w:r w:rsidRPr="00E67CF5">
        <w:rPr>
          <w:rFonts w:ascii="Arial" w:hAnsi="Arial" w:cs="Arial"/>
          <w:sz w:val="20"/>
          <w:szCs w:val="20"/>
        </w:rPr>
        <w:t>Arthroplasty</w:t>
      </w:r>
      <w:proofErr w:type="spellEnd"/>
      <w:r w:rsidRPr="00E67CF5">
        <w:rPr>
          <w:rFonts w:ascii="Arial" w:hAnsi="Arial" w:cs="Arial"/>
          <w:sz w:val="20"/>
          <w:szCs w:val="20"/>
        </w:rPr>
        <w:t xml:space="preserve"> Surgery”,</w:t>
      </w:r>
      <w:r w:rsidRPr="00E67CF5">
        <w:rPr>
          <w:rStyle w:val="Heading2Char"/>
          <w:rFonts w:ascii="Arial" w:hAnsi="Arial" w:cs="Arial"/>
          <w:color w:val="auto"/>
          <w:sz w:val="20"/>
          <w:szCs w:val="20"/>
        </w:rPr>
        <w:t xml:space="preserve"> </w:t>
      </w:r>
      <w:r w:rsidRPr="00FB4A6F">
        <w:rPr>
          <w:rStyle w:val="Strong"/>
          <w:rFonts w:ascii="Arial" w:hAnsi="Arial" w:cs="Arial"/>
          <w:b w:val="0"/>
          <w:i/>
          <w:sz w:val="20"/>
          <w:szCs w:val="20"/>
        </w:rPr>
        <w:t xml:space="preserve">The Journal of </w:t>
      </w:r>
      <w:proofErr w:type="spellStart"/>
      <w:r w:rsidRPr="00FB4A6F">
        <w:rPr>
          <w:rStyle w:val="Strong"/>
          <w:rFonts w:ascii="Arial" w:hAnsi="Arial" w:cs="Arial"/>
          <w:b w:val="0"/>
          <w:i/>
          <w:sz w:val="20"/>
          <w:szCs w:val="20"/>
        </w:rPr>
        <w:t>Arthroplasty</w:t>
      </w:r>
      <w:proofErr w:type="spellEnd"/>
      <w:r w:rsidRPr="00E67CF5">
        <w:rPr>
          <w:rStyle w:val="Strong"/>
          <w:rFonts w:ascii="Arial" w:hAnsi="Arial" w:cs="Arial"/>
          <w:sz w:val="20"/>
          <w:szCs w:val="20"/>
        </w:rPr>
        <w:t xml:space="preserve">, </w:t>
      </w:r>
      <w:hyperlink r:id="rId11" w:history="1">
        <w:r w:rsidRPr="00E67CF5">
          <w:rPr>
            <w:rStyle w:val="Hyperlink"/>
            <w:rFonts w:ascii="Arial" w:hAnsi="Arial" w:cs="Arial"/>
            <w:color w:val="auto"/>
            <w:sz w:val="20"/>
            <w:szCs w:val="20"/>
            <w:u w:val="none"/>
          </w:rPr>
          <w:t>Volume 28, Issue 6</w:t>
        </w:r>
      </w:hyperlink>
      <w:r w:rsidRPr="00E67CF5">
        <w:rPr>
          <w:rFonts w:ascii="Arial" w:hAnsi="Arial" w:cs="Arial"/>
          <w:sz w:val="20"/>
          <w:szCs w:val="20"/>
        </w:rPr>
        <w:t xml:space="preserve"> , Pages 928-931, June 2013</w:t>
      </w:r>
      <w:r w:rsidR="00BD6574" w:rsidRPr="00E67CF5">
        <w:rPr>
          <w:rFonts w:ascii="Arial" w:hAnsi="Arial" w:cs="Arial"/>
          <w:sz w:val="20"/>
          <w:szCs w:val="20"/>
        </w:rPr>
        <w:t>.</w:t>
      </w:r>
    </w:p>
  </w:footnote>
  <w:footnote w:id="18">
    <w:p w:rsidR="000236D0" w:rsidRPr="00E67CF5" w:rsidRDefault="000236D0" w:rsidP="000236D0">
      <w:pPr>
        <w:pStyle w:val="NormalWeb"/>
        <w:spacing w:before="0" w:beforeAutospacing="0" w:after="0" w:afterAutospacing="0"/>
        <w:rPr>
          <w:rFonts w:ascii="Arial" w:hAnsi="Arial" w:cs="Arial"/>
          <w:sz w:val="20"/>
          <w:szCs w:val="20"/>
        </w:rPr>
      </w:pPr>
      <w:r>
        <w:rPr>
          <w:rStyle w:val="FootnoteReference"/>
        </w:rPr>
        <w:footnoteRef/>
      </w:r>
      <w:r>
        <w:t xml:space="preserve"> </w:t>
      </w:r>
      <w:r w:rsidRPr="00E67CF5">
        <w:rPr>
          <w:rFonts w:ascii="Arial" w:hAnsi="Arial" w:cs="Arial"/>
          <w:sz w:val="20"/>
          <w:szCs w:val="20"/>
        </w:rPr>
        <w:t xml:space="preserve">The study was published online June 17 in </w:t>
      </w:r>
      <w:proofErr w:type="spellStart"/>
      <w:r w:rsidRPr="00E67CF5">
        <w:rPr>
          <w:rFonts w:ascii="Arial" w:hAnsi="Arial" w:cs="Arial"/>
          <w:i/>
          <w:iCs/>
          <w:sz w:val="20"/>
          <w:szCs w:val="20"/>
        </w:rPr>
        <w:t>Pediatrics</w:t>
      </w:r>
      <w:proofErr w:type="spellEnd"/>
      <w:r w:rsidRPr="00E67CF5">
        <w:rPr>
          <w:rFonts w:ascii="Arial" w:hAnsi="Arial" w:cs="Arial"/>
          <w:sz w:val="20"/>
          <w:szCs w:val="20"/>
        </w:rPr>
        <w:t>.</w:t>
      </w:r>
    </w:p>
  </w:footnote>
  <w:footnote w:id="19">
    <w:p w:rsidR="000236D0" w:rsidRDefault="000236D0" w:rsidP="000236D0">
      <w:pPr>
        <w:pStyle w:val="Heading1"/>
        <w:spacing w:before="0" w:line="240" w:lineRule="auto"/>
      </w:pPr>
      <w:r w:rsidRPr="0010368F">
        <w:rPr>
          <w:rStyle w:val="FootnoteReference"/>
          <w:rFonts w:ascii="Arial" w:hAnsi="Arial" w:cs="Arial"/>
          <w:b w:val="0"/>
          <w:color w:val="auto"/>
          <w:sz w:val="20"/>
          <w:szCs w:val="20"/>
        </w:rPr>
        <w:footnoteRef/>
      </w:r>
      <w:proofErr w:type="spellStart"/>
      <w:r w:rsidRPr="0010368F">
        <w:rPr>
          <w:rFonts w:ascii="Arial" w:hAnsi="Arial" w:cs="Arial"/>
          <w:b w:val="0"/>
          <w:color w:val="auto"/>
          <w:sz w:val="20"/>
          <w:szCs w:val="20"/>
        </w:rPr>
        <w:t>Haider</w:t>
      </w:r>
      <w:proofErr w:type="spellEnd"/>
      <w:r w:rsidRPr="0010368F">
        <w:rPr>
          <w:rFonts w:ascii="Arial" w:hAnsi="Arial" w:cs="Arial"/>
          <w:b w:val="0"/>
          <w:color w:val="auto"/>
          <w:sz w:val="20"/>
          <w:szCs w:val="20"/>
        </w:rPr>
        <w:t xml:space="preserve">, </w:t>
      </w:r>
      <w:proofErr w:type="spellStart"/>
      <w:r w:rsidRPr="0010368F">
        <w:rPr>
          <w:rFonts w:ascii="Arial" w:hAnsi="Arial" w:cs="Arial"/>
          <w:b w:val="0"/>
          <w:color w:val="auto"/>
          <w:sz w:val="20"/>
          <w:szCs w:val="20"/>
        </w:rPr>
        <w:t>Olofin</w:t>
      </w:r>
      <w:proofErr w:type="spellEnd"/>
      <w:r w:rsidRPr="0010368F">
        <w:rPr>
          <w:rFonts w:ascii="Arial" w:hAnsi="Arial" w:cs="Arial"/>
          <w:b w:val="0"/>
          <w:color w:val="auto"/>
          <w:sz w:val="20"/>
          <w:szCs w:val="20"/>
        </w:rPr>
        <w:t xml:space="preserve">, Wang, </w:t>
      </w:r>
      <w:proofErr w:type="spellStart"/>
      <w:r w:rsidRPr="0010368F">
        <w:rPr>
          <w:rFonts w:ascii="Arial" w:hAnsi="Arial" w:cs="Arial"/>
          <w:b w:val="0"/>
          <w:color w:val="auto"/>
          <w:sz w:val="20"/>
          <w:szCs w:val="20"/>
        </w:rPr>
        <w:t>Spiegelman</w:t>
      </w:r>
      <w:proofErr w:type="spellEnd"/>
      <w:r w:rsidRPr="0010368F">
        <w:rPr>
          <w:rFonts w:ascii="Arial" w:hAnsi="Arial" w:cs="Arial"/>
          <w:b w:val="0"/>
          <w:color w:val="auto"/>
          <w:sz w:val="20"/>
          <w:szCs w:val="20"/>
        </w:rPr>
        <w:t xml:space="preserve">, </w:t>
      </w:r>
      <w:proofErr w:type="spellStart"/>
      <w:r w:rsidRPr="0010368F">
        <w:rPr>
          <w:rFonts w:ascii="Arial" w:hAnsi="Arial" w:cs="Arial"/>
          <w:b w:val="0"/>
          <w:color w:val="auto"/>
          <w:sz w:val="20"/>
          <w:szCs w:val="20"/>
        </w:rPr>
        <w:t>Ezzati</w:t>
      </w:r>
      <w:proofErr w:type="spellEnd"/>
      <w:r w:rsidRPr="0010368F">
        <w:rPr>
          <w:rFonts w:ascii="Arial" w:hAnsi="Arial" w:cs="Arial"/>
          <w:b w:val="0"/>
          <w:color w:val="auto"/>
          <w:sz w:val="20"/>
          <w:szCs w:val="20"/>
        </w:rPr>
        <w:t xml:space="preserve">, and </w:t>
      </w:r>
      <w:proofErr w:type="spellStart"/>
      <w:r w:rsidRPr="0010368F">
        <w:rPr>
          <w:rFonts w:ascii="Arial" w:hAnsi="Arial" w:cs="Arial"/>
          <w:b w:val="0"/>
          <w:color w:val="auto"/>
          <w:sz w:val="20"/>
          <w:szCs w:val="20"/>
        </w:rPr>
        <w:t>Fawzi</w:t>
      </w:r>
      <w:proofErr w:type="spellEnd"/>
      <w:r w:rsidRPr="0010368F">
        <w:rPr>
          <w:rFonts w:ascii="Arial" w:hAnsi="Arial" w:cs="Arial"/>
          <w:b w:val="0"/>
          <w:color w:val="auto"/>
          <w:sz w:val="20"/>
          <w:szCs w:val="20"/>
        </w:rPr>
        <w:t xml:space="preserve">, </w:t>
      </w:r>
      <w:r w:rsidRPr="0010368F">
        <w:rPr>
          <w:rFonts w:ascii="Arial" w:hAnsi="Arial" w:cs="Arial"/>
          <w:b w:val="0"/>
          <w:color w:val="auto"/>
          <w:sz w:val="20"/>
          <w:szCs w:val="20"/>
          <w:lang w:val="en"/>
        </w:rPr>
        <w:t>“</w:t>
      </w:r>
      <w:proofErr w:type="spellStart"/>
      <w:r w:rsidRPr="0010368F">
        <w:rPr>
          <w:rFonts w:ascii="Arial" w:hAnsi="Arial" w:cs="Arial"/>
          <w:b w:val="0"/>
          <w:color w:val="auto"/>
          <w:sz w:val="20"/>
          <w:szCs w:val="20"/>
          <w:lang w:val="en"/>
        </w:rPr>
        <w:t>Anaemia</w:t>
      </w:r>
      <w:proofErr w:type="spellEnd"/>
      <w:r w:rsidRPr="0010368F">
        <w:rPr>
          <w:rFonts w:ascii="Arial" w:hAnsi="Arial" w:cs="Arial"/>
          <w:b w:val="0"/>
          <w:color w:val="auto"/>
          <w:sz w:val="20"/>
          <w:szCs w:val="20"/>
          <w:lang w:val="en"/>
        </w:rPr>
        <w:t>, prenatal iron use, and risk of adverse pregnancy outcomes: systematic review and meta-analysis”</w:t>
      </w:r>
      <w:proofErr w:type="gramStart"/>
      <w:r w:rsidRPr="0010368F">
        <w:rPr>
          <w:rFonts w:ascii="Arial" w:hAnsi="Arial" w:cs="Arial"/>
          <w:b w:val="0"/>
          <w:color w:val="auto"/>
          <w:sz w:val="20"/>
          <w:szCs w:val="20"/>
          <w:lang w:val="en"/>
        </w:rPr>
        <w:t xml:space="preserve">, </w:t>
      </w:r>
      <w:r w:rsidRPr="0010368F">
        <w:rPr>
          <w:rStyle w:val="pop-cite"/>
          <w:rFonts w:ascii="Arial" w:hAnsi="Arial" w:cs="Arial"/>
          <w:b w:val="0"/>
          <w:i/>
          <w:iCs/>
          <w:color w:val="auto"/>
          <w:sz w:val="20"/>
          <w:szCs w:val="20"/>
          <w:lang w:val="en"/>
        </w:rPr>
        <w:t>:</w:t>
      </w:r>
      <w:proofErr w:type="gramEnd"/>
      <w:r w:rsidRPr="0010368F">
        <w:rPr>
          <w:rFonts w:ascii="Arial" w:hAnsi="Arial" w:cs="Arial"/>
          <w:b w:val="0"/>
          <w:i/>
          <w:iCs/>
          <w:color w:val="auto"/>
          <w:sz w:val="20"/>
          <w:szCs w:val="20"/>
          <w:lang w:val="en"/>
        </w:rPr>
        <w:t>BMJ</w:t>
      </w:r>
      <w:r w:rsidRPr="0010368F">
        <w:rPr>
          <w:rStyle w:val="slug-pop-date"/>
          <w:rFonts w:ascii="Arial" w:hAnsi="Arial" w:cs="Arial"/>
          <w:b w:val="0"/>
          <w:i/>
          <w:iCs/>
          <w:color w:val="auto"/>
          <w:sz w:val="20"/>
          <w:szCs w:val="20"/>
          <w:lang w:val="en"/>
        </w:rPr>
        <w:t>2013;</w:t>
      </w:r>
      <w:r w:rsidRPr="0010368F">
        <w:rPr>
          <w:rStyle w:val="pop-slug"/>
          <w:rFonts w:ascii="Arial" w:hAnsi="Arial" w:cs="Arial"/>
          <w:b w:val="0"/>
          <w:i/>
          <w:iCs/>
          <w:color w:val="auto"/>
          <w:sz w:val="20"/>
          <w:szCs w:val="20"/>
          <w:lang w:val="en"/>
        </w:rPr>
        <w:t>346:f3443, published 21</w:t>
      </w:r>
      <w:r w:rsidRPr="0010368F">
        <w:rPr>
          <w:rStyle w:val="pop-slug"/>
          <w:rFonts w:ascii="Arial" w:hAnsi="Arial" w:cs="Arial"/>
          <w:b w:val="0"/>
          <w:i/>
          <w:iCs/>
          <w:color w:val="auto"/>
          <w:sz w:val="20"/>
          <w:szCs w:val="20"/>
          <w:vertAlign w:val="superscript"/>
          <w:lang w:val="en"/>
        </w:rPr>
        <w:t>st</w:t>
      </w:r>
      <w:r w:rsidRPr="0010368F">
        <w:rPr>
          <w:rStyle w:val="pop-slug"/>
          <w:rFonts w:ascii="Arial" w:hAnsi="Arial" w:cs="Arial"/>
          <w:b w:val="0"/>
          <w:i/>
          <w:iCs/>
          <w:color w:val="auto"/>
          <w:sz w:val="20"/>
          <w:szCs w:val="20"/>
          <w:lang w:val="en"/>
        </w:rPr>
        <w:t xml:space="preserve"> June 2013</w:t>
      </w:r>
    </w:p>
  </w:footnote>
  <w:footnote w:id="20">
    <w:p w:rsidR="000236D0" w:rsidRPr="00170B28" w:rsidRDefault="000236D0" w:rsidP="000236D0">
      <w:pPr>
        <w:pStyle w:val="FootnoteText"/>
        <w:rPr>
          <w:rFonts w:ascii="Arial" w:hAnsi="Arial" w:cs="Arial"/>
          <w:i/>
        </w:rPr>
      </w:pPr>
      <w:r>
        <w:rPr>
          <w:rStyle w:val="FootnoteReference"/>
        </w:rPr>
        <w:footnoteRef/>
      </w:r>
      <w:r>
        <w:t xml:space="preserve"> </w:t>
      </w:r>
      <w:r w:rsidRPr="00170B28">
        <w:rPr>
          <w:rFonts w:ascii="Arial" w:hAnsi="Arial" w:cs="Arial"/>
        </w:rPr>
        <w:t xml:space="preserve">See </w:t>
      </w:r>
      <w:r w:rsidRPr="00170B28">
        <w:rPr>
          <w:rFonts w:ascii="Arial" w:hAnsi="Arial" w:cs="Arial"/>
          <w:i/>
        </w:rPr>
        <w:t>PLOS Medicine.</w:t>
      </w:r>
    </w:p>
  </w:footnote>
  <w:footnote w:id="21">
    <w:p w:rsidR="000236D0" w:rsidRPr="00FB4A6F" w:rsidRDefault="000236D0" w:rsidP="000236D0">
      <w:pPr>
        <w:pStyle w:val="NormalWeb"/>
        <w:spacing w:before="0" w:beforeAutospacing="0" w:after="0" w:afterAutospacing="0"/>
        <w:rPr>
          <w:rFonts w:ascii="Arial" w:hAnsi="Arial" w:cs="Arial"/>
          <w:sz w:val="20"/>
          <w:szCs w:val="20"/>
        </w:rPr>
      </w:pPr>
      <w:r w:rsidRPr="00FB4A6F">
        <w:rPr>
          <w:rStyle w:val="FootnoteReference"/>
          <w:rFonts w:ascii="Arial" w:hAnsi="Arial" w:cs="Arial"/>
          <w:sz w:val="20"/>
          <w:szCs w:val="20"/>
        </w:rPr>
        <w:footnoteRef/>
      </w:r>
      <w:r w:rsidRPr="00FB4A6F">
        <w:rPr>
          <w:rFonts w:ascii="Arial" w:hAnsi="Arial" w:cs="Arial"/>
          <w:sz w:val="20"/>
          <w:szCs w:val="20"/>
        </w:rPr>
        <w:t xml:space="preserve"> </w:t>
      </w:r>
      <w:r w:rsidRPr="00FB4A6F">
        <w:rPr>
          <w:rFonts w:ascii="Arial" w:hAnsi="Arial" w:cs="Arial"/>
          <w:i/>
          <w:iCs/>
          <w:sz w:val="20"/>
          <w:szCs w:val="20"/>
        </w:rPr>
        <w:t>Journal of the American Society of Nephrology</w:t>
      </w:r>
      <w:r w:rsidRPr="00FB4A6F">
        <w:rPr>
          <w:rFonts w:ascii="Arial" w:hAnsi="Arial" w:cs="Arial"/>
          <w:sz w:val="20"/>
          <w:szCs w:val="20"/>
        </w:rPr>
        <w:t xml:space="preserve">, news release, June 20, 2013 </w:t>
      </w:r>
    </w:p>
  </w:footnote>
  <w:footnote w:id="22">
    <w:p w:rsidR="00B839A9" w:rsidRPr="00E67CF5" w:rsidRDefault="00B839A9" w:rsidP="00BD6574">
      <w:pPr>
        <w:pStyle w:val="NormalWeb"/>
        <w:spacing w:before="0" w:beforeAutospacing="0" w:after="0" w:afterAutospacing="0"/>
        <w:rPr>
          <w:rFonts w:ascii="Arial" w:hAnsi="Arial" w:cs="Arial"/>
          <w:sz w:val="20"/>
          <w:szCs w:val="20"/>
        </w:rPr>
      </w:pPr>
      <w:r w:rsidRPr="00E67CF5">
        <w:rPr>
          <w:rStyle w:val="FootnoteReference"/>
          <w:rFonts w:ascii="Arial" w:hAnsi="Arial" w:cs="Arial"/>
          <w:sz w:val="20"/>
          <w:szCs w:val="20"/>
        </w:rPr>
        <w:footnoteRef/>
      </w:r>
      <w:r w:rsidRPr="00E67CF5">
        <w:rPr>
          <w:rFonts w:ascii="Arial" w:hAnsi="Arial" w:cs="Arial"/>
          <w:sz w:val="20"/>
          <w:szCs w:val="20"/>
        </w:rPr>
        <w:t xml:space="preserve"> </w:t>
      </w:r>
      <w:proofErr w:type="spellStart"/>
      <w:proofErr w:type="gramStart"/>
      <w:r w:rsidRPr="00E67CF5">
        <w:rPr>
          <w:rFonts w:ascii="Arial" w:eastAsia="Times New Roman" w:hAnsi="Arial" w:cs="Arial"/>
          <w:sz w:val="20"/>
          <w:szCs w:val="20"/>
        </w:rPr>
        <w:t>Gallet</w:t>
      </w:r>
      <w:proofErr w:type="spellEnd"/>
      <w:r w:rsidRPr="00E67CF5">
        <w:rPr>
          <w:rFonts w:ascii="Arial" w:eastAsia="Times New Roman" w:hAnsi="Arial" w:cs="Arial"/>
          <w:sz w:val="20"/>
          <w:szCs w:val="20"/>
        </w:rPr>
        <w:t xml:space="preserve"> R, </w:t>
      </w:r>
      <w:proofErr w:type="spellStart"/>
      <w:r w:rsidRPr="00E67CF5">
        <w:rPr>
          <w:rFonts w:ascii="Arial" w:eastAsia="Times New Roman" w:hAnsi="Arial" w:cs="Arial"/>
          <w:sz w:val="20"/>
          <w:szCs w:val="20"/>
        </w:rPr>
        <w:t>Seeman</w:t>
      </w:r>
      <w:proofErr w:type="spellEnd"/>
      <w:r w:rsidRPr="00E67CF5">
        <w:rPr>
          <w:rFonts w:ascii="Arial" w:eastAsia="Times New Roman" w:hAnsi="Arial" w:cs="Arial"/>
          <w:sz w:val="20"/>
          <w:szCs w:val="20"/>
        </w:rPr>
        <w:t xml:space="preserve"> A, Yamamoto M, et al. “Effect of </w:t>
      </w:r>
      <w:proofErr w:type="spellStart"/>
      <w:r w:rsidRPr="00E67CF5">
        <w:rPr>
          <w:rFonts w:ascii="Arial" w:eastAsia="Times New Roman" w:hAnsi="Arial" w:cs="Arial"/>
          <w:sz w:val="20"/>
          <w:szCs w:val="20"/>
        </w:rPr>
        <w:t>transcatheter</w:t>
      </w:r>
      <w:proofErr w:type="spellEnd"/>
      <w:r w:rsidRPr="00E67CF5">
        <w:rPr>
          <w:rFonts w:ascii="Arial" w:eastAsia="Times New Roman" w:hAnsi="Arial" w:cs="Arial"/>
          <w:sz w:val="20"/>
          <w:szCs w:val="20"/>
        </w:rPr>
        <w:t xml:space="preserve"> (via femoral artery) aortic valve implantation on the platelet count and its consequences”.</w:t>
      </w:r>
      <w:proofErr w:type="gramEnd"/>
      <w:r w:rsidRPr="00E67CF5">
        <w:rPr>
          <w:rFonts w:ascii="Arial" w:eastAsia="Times New Roman" w:hAnsi="Arial" w:cs="Arial"/>
          <w:sz w:val="20"/>
          <w:szCs w:val="20"/>
        </w:rPr>
        <w:t xml:space="preserve"> </w:t>
      </w:r>
      <w:proofErr w:type="gramStart"/>
      <w:r w:rsidRPr="00E67CF5">
        <w:rPr>
          <w:rFonts w:ascii="Arial" w:eastAsia="Times New Roman" w:hAnsi="Arial" w:cs="Arial"/>
          <w:i/>
          <w:iCs/>
          <w:sz w:val="20"/>
          <w:szCs w:val="20"/>
        </w:rPr>
        <w:t xml:space="preserve">Am J </w:t>
      </w:r>
      <w:proofErr w:type="spellStart"/>
      <w:r w:rsidRPr="00E67CF5">
        <w:rPr>
          <w:rFonts w:ascii="Arial" w:eastAsia="Times New Roman" w:hAnsi="Arial" w:cs="Arial"/>
          <w:i/>
          <w:iCs/>
          <w:sz w:val="20"/>
          <w:szCs w:val="20"/>
        </w:rPr>
        <w:t>Cardiol</w:t>
      </w:r>
      <w:proofErr w:type="spellEnd"/>
      <w:r w:rsidRPr="00E67CF5">
        <w:rPr>
          <w:rFonts w:ascii="Arial" w:eastAsia="Times New Roman" w:hAnsi="Arial" w:cs="Arial"/>
          <w:sz w:val="20"/>
          <w:szCs w:val="20"/>
        </w:rPr>
        <w:t>.</w:t>
      </w:r>
      <w:proofErr w:type="gramEnd"/>
      <w:r w:rsidRPr="00E67CF5">
        <w:rPr>
          <w:rFonts w:ascii="Arial" w:eastAsia="Times New Roman" w:hAnsi="Arial" w:cs="Arial"/>
          <w:sz w:val="20"/>
          <w:szCs w:val="20"/>
        </w:rPr>
        <w:t xml:space="preserve"> 2013</w:t>
      </w:r>
      <w:proofErr w:type="gramStart"/>
      <w:r w:rsidRPr="00E67CF5">
        <w:rPr>
          <w:rFonts w:ascii="Arial" w:eastAsia="Times New Roman" w:hAnsi="Arial" w:cs="Arial"/>
          <w:sz w:val="20"/>
          <w:szCs w:val="20"/>
        </w:rPr>
        <w:t>;111:1619</w:t>
      </w:r>
      <w:proofErr w:type="gramEnd"/>
      <w:r w:rsidRPr="00E67CF5">
        <w:rPr>
          <w:rFonts w:ascii="Arial" w:eastAsia="Times New Roman" w:hAnsi="Arial" w:cs="Arial"/>
          <w:sz w:val="20"/>
          <w:szCs w:val="20"/>
        </w:rPr>
        <w:t xml:space="preserve">-1624. </w:t>
      </w:r>
    </w:p>
  </w:footnote>
  <w:footnote w:id="23">
    <w:p w:rsidR="00DB7DED" w:rsidRPr="00FB4A6F" w:rsidRDefault="00DB7DED" w:rsidP="00DB7DED">
      <w:pPr>
        <w:pStyle w:val="FootnoteText"/>
        <w:rPr>
          <w:rFonts w:ascii="Arial" w:hAnsi="Arial" w:cs="Arial"/>
        </w:rPr>
      </w:pPr>
      <w:r w:rsidRPr="00FB4A6F">
        <w:rPr>
          <w:rStyle w:val="FootnoteReference"/>
          <w:rFonts w:ascii="Arial" w:hAnsi="Arial" w:cs="Arial"/>
        </w:rPr>
        <w:footnoteRef/>
      </w:r>
      <w:r w:rsidRPr="00FB4A6F">
        <w:rPr>
          <w:rFonts w:ascii="Arial" w:hAnsi="Arial" w:cs="Arial"/>
        </w:rPr>
        <w:t xml:space="preserve"> </w:t>
      </w:r>
      <w:r w:rsidRPr="00FB4A6F">
        <w:rPr>
          <w:rFonts w:ascii="Arial" w:eastAsia="Times New Roman" w:hAnsi="Arial" w:cs="Arial"/>
        </w:rPr>
        <w:t xml:space="preserve">See the June 24 issue of </w:t>
      </w:r>
      <w:r w:rsidRPr="00FB4A6F">
        <w:rPr>
          <w:rFonts w:ascii="Arial" w:eastAsia="Times New Roman" w:hAnsi="Arial" w:cs="Arial"/>
          <w:i/>
        </w:rPr>
        <w:t>Proceedings of the National Academy of Sciences</w:t>
      </w:r>
      <w:r w:rsidRPr="00FB4A6F">
        <w:rPr>
          <w:rFonts w:ascii="Arial" w:eastAsia="Times New Roman" w:hAnsi="Arial" w:cs="Arial"/>
        </w:rPr>
        <w:t>(US)</w:t>
      </w:r>
    </w:p>
  </w:footnote>
  <w:footnote w:id="24">
    <w:p w:rsidR="00930F43" w:rsidRPr="00FB4A6F" w:rsidRDefault="00930F43" w:rsidP="00930F43">
      <w:pPr>
        <w:pStyle w:val="FootnoteText"/>
        <w:rPr>
          <w:rFonts w:ascii="Arial" w:hAnsi="Arial" w:cs="Arial"/>
        </w:rPr>
      </w:pPr>
      <w:r w:rsidRPr="00FB4A6F">
        <w:rPr>
          <w:rStyle w:val="FootnoteReference"/>
          <w:rFonts w:ascii="Arial" w:hAnsi="Arial" w:cs="Arial"/>
        </w:rPr>
        <w:footnoteRef/>
      </w:r>
      <w:r w:rsidRPr="00FB4A6F">
        <w:rPr>
          <w:rFonts w:ascii="Arial" w:hAnsi="Arial" w:cs="Arial"/>
        </w:rPr>
        <w:t xml:space="preserve"> The research was published June 16 in </w:t>
      </w:r>
      <w:r w:rsidRPr="00FB4A6F">
        <w:rPr>
          <w:rStyle w:val="Emphasis"/>
          <w:rFonts w:ascii="Arial" w:hAnsi="Arial" w:cs="Arial"/>
        </w:rPr>
        <w:t>Nature Immunology</w:t>
      </w:r>
    </w:p>
  </w:footnote>
  <w:footnote w:id="25">
    <w:p w:rsidR="00DB675F" w:rsidRPr="00FB4A6F" w:rsidRDefault="00DB675F" w:rsidP="00BD6574">
      <w:pPr>
        <w:pStyle w:val="NormalWeb"/>
        <w:spacing w:before="0" w:beforeAutospacing="0" w:after="0" w:afterAutospacing="0"/>
        <w:rPr>
          <w:rFonts w:ascii="Arial" w:hAnsi="Arial" w:cs="Arial"/>
          <w:sz w:val="20"/>
          <w:szCs w:val="20"/>
        </w:rPr>
      </w:pPr>
      <w:r w:rsidRPr="00FB4A6F">
        <w:rPr>
          <w:rStyle w:val="FootnoteReference"/>
          <w:rFonts w:ascii="Arial" w:hAnsi="Arial" w:cs="Arial"/>
          <w:sz w:val="20"/>
          <w:szCs w:val="20"/>
        </w:rPr>
        <w:footnoteRef/>
      </w:r>
      <w:r w:rsidRPr="00FB4A6F">
        <w:rPr>
          <w:rFonts w:ascii="Arial" w:hAnsi="Arial" w:cs="Arial"/>
          <w:sz w:val="20"/>
          <w:szCs w:val="20"/>
        </w:rPr>
        <w:t xml:space="preserve"> </w:t>
      </w:r>
      <w:r w:rsidRPr="00FB4A6F">
        <w:rPr>
          <w:rFonts w:ascii="Arial" w:hAnsi="Arial" w:cs="Arial"/>
          <w:color w:val="000000"/>
          <w:sz w:val="20"/>
          <w:szCs w:val="20"/>
        </w:rPr>
        <w:t xml:space="preserve">See “ZFP36L2 is required for self-renewal of early burst-forming unit </w:t>
      </w:r>
      <w:proofErr w:type="spellStart"/>
      <w:r w:rsidRPr="00FB4A6F">
        <w:rPr>
          <w:rFonts w:ascii="Arial" w:hAnsi="Arial" w:cs="Arial"/>
          <w:color w:val="000000"/>
          <w:sz w:val="20"/>
          <w:szCs w:val="20"/>
        </w:rPr>
        <w:t>erythroid</w:t>
      </w:r>
      <w:proofErr w:type="spellEnd"/>
      <w:r w:rsidRPr="00FB4A6F">
        <w:rPr>
          <w:rFonts w:ascii="Arial" w:hAnsi="Arial" w:cs="Arial"/>
          <w:color w:val="000000"/>
          <w:sz w:val="20"/>
          <w:szCs w:val="20"/>
        </w:rPr>
        <w:t xml:space="preserve"> progenitors”, </w:t>
      </w:r>
      <w:r w:rsidRPr="00FB4A6F">
        <w:rPr>
          <w:rFonts w:ascii="Arial" w:hAnsi="Arial" w:cs="Arial"/>
          <w:i/>
          <w:iCs/>
          <w:color w:val="000000"/>
          <w:sz w:val="20"/>
          <w:szCs w:val="20"/>
        </w:rPr>
        <w:t>Nature</w:t>
      </w:r>
      <w:r w:rsidRPr="00FB4A6F">
        <w:rPr>
          <w:rFonts w:ascii="Arial" w:hAnsi="Arial" w:cs="Arial"/>
          <w:color w:val="000000"/>
          <w:sz w:val="20"/>
          <w:szCs w:val="20"/>
        </w:rPr>
        <w:t xml:space="preserve">, online on June 9, 2013. </w:t>
      </w:r>
      <w:hyperlink r:id="rId12" w:tgtFrame="_blank" w:history="1">
        <w:r w:rsidRPr="00FB4A6F">
          <w:rPr>
            <w:rStyle w:val="Hyperlink"/>
            <w:rFonts w:ascii="Arial" w:hAnsi="Arial" w:cs="Arial"/>
            <w:bCs/>
            <w:sz w:val="20"/>
            <w:szCs w:val="20"/>
          </w:rPr>
          <w:t>DOI: 10.1038/nature12215</w:t>
        </w:r>
      </w:hyperlink>
    </w:p>
  </w:footnote>
  <w:footnote w:id="26">
    <w:p w:rsidR="00E87B8C" w:rsidRPr="00FB4A6F" w:rsidRDefault="00E87B8C" w:rsidP="00E87B8C">
      <w:pPr>
        <w:pStyle w:val="FootnoteText"/>
        <w:rPr>
          <w:rFonts w:ascii="Arial" w:hAnsi="Arial" w:cs="Arial"/>
        </w:rPr>
      </w:pPr>
      <w:r w:rsidRPr="00FB4A6F">
        <w:rPr>
          <w:rStyle w:val="FootnoteReference"/>
          <w:rFonts w:ascii="Arial" w:hAnsi="Arial" w:cs="Arial"/>
        </w:rPr>
        <w:footnoteRef/>
      </w:r>
      <w:r w:rsidRPr="00FB4A6F">
        <w:rPr>
          <w:rFonts w:ascii="Arial" w:hAnsi="Arial" w:cs="Arial"/>
        </w:rPr>
        <w:t xml:space="preserve"> Lead author was Bevin Cohen, program director at the </w:t>
      </w:r>
      <w:proofErr w:type="spellStart"/>
      <w:r w:rsidRPr="00FB4A6F">
        <w:rPr>
          <w:rFonts w:ascii="Arial" w:hAnsi="Arial" w:cs="Arial"/>
        </w:rPr>
        <w:t>Center</w:t>
      </w:r>
      <w:proofErr w:type="spellEnd"/>
      <w:r w:rsidRPr="00FB4A6F">
        <w:rPr>
          <w:rFonts w:ascii="Arial" w:hAnsi="Arial" w:cs="Arial"/>
        </w:rPr>
        <w:t xml:space="preserve"> for Interdisciplinary Research to Prevent Infections at Columbia University School of Nursing.  The study was published online in the </w:t>
      </w:r>
      <w:r w:rsidRPr="00FB4A6F">
        <w:rPr>
          <w:rFonts w:ascii="Arial" w:hAnsi="Arial" w:cs="Arial"/>
          <w:i/>
          <w:iCs/>
        </w:rPr>
        <w:t>Journal of General Internal Medicine.</w:t>
      </w:r>
    </w:p>
  </w:footnote>
  <w:footnote w:id="27">
    <w:p w:rsidR="001872D2" w:rsidRDefault="001872D2" w:rsidP="00741FBB">
      <w:pPr>
        <w:pStyle w:val="NormalWeb"/>
        <w:spacing w:before="0" w:beforeAutospacing="0" w:after="0" w:afterAutospacing="0"/>
      </w:pPr>
      <w:r>
        <w:rPr>
          <w:rStyle w:val="FootnoteReference"/>
        </w:rPr>
        <w:footnoteRef/>
      </w:r>
      <w:r>
        <w:t xml:space="preserve"> </w:t>
      </w:r>
      <w:r w:rsidRPr="004B305C">
        <w:rPr>
          <w:rStyle w:val="Strong"/>
          <w:rFonts w:ascii="Arial" w:hAnsi="Arial" w:cs="Arial"/>
          <w:b w:val="0"/>
          <w:sz w:val="20"/>
          <w:szCs w:val="20"/>
        </w:rPr>
        <w:t xml:space="preserve">T. Takebe et al., “Vascularized and functional human liver from an </w:t>
      </w:r>
      <w:proofErr w:type="spellStart"/>
      <w:r w:rsidRPr="004B305C">
        <w:rPr>
          <w:rStyle w:val="Strong"/>
          <w:rFonts w:ascii="Arial" w:hAnsi="Arial" w:cs="Arial"/>
          <w:b w:val="0"/>
          <w:sz w:val="20"/>
          <w:szCs w:val="20"/>
        </w:rPr>
        <w:t>iPSC</w:t>
      </w:r>
      <w:proofErr w:type="spellEnd"/>
      <w:r w:rsidRPr="004B305C">
        <w:rPr>
          <w:rStyle w:val="Strong"/>
          <w:rFonts w:ascii="Arial" w:hAnsi="Arial" w:cs="Arial"/>
          <w:b w:val="0"/>
          <w:sz w:val="20"/>
          <w:szCs w:val="20"/>
        </w:rPr>
        <w:t xml:space="preserve">-derived organ bud transplant,” </w:t>
      </w:r>
      <w:hyperlink r:id="rId13" w:tgtFrame="_blank" w:history="1">
        <w:r w:rsidRPr="004B305C">
          <w:rPr>
            <w:rStyle w:val="Hyperlink"/>
            <w:rFonts w:ascii="Arial" w:hAnsi="Arial" w:cs="Arial"/>
            <w:bCs/>
            <w:i/>
            <w:iCs/>
            <w:color w:val="auto"/>
            <w:sz w:val="20"/>
            <w:szCs w:val="20"/>
            <w:u w:val="none"/>
          </w:rPr>
          <w:t>Nature</w:t>
        </w:r>
      </w:hyperlink>
      <w:r w:rsidRPr="004B305C">
        <w:rPr>
          <w:rStyle w:val="Strong"/>
          <w:rFonts w:ascii="Arial" w:hAnsi="Arial" w:cs="Arial"/>
          <w:b w:val="0"/>
          <w:sz w:val="20"/>
          <w:szCs w:val="20"/>
        </w:rPr>
        <w:t>, doi</w:t>
      </w:r>
      <w:proofErr w:type="gramStart"/>
      <w:r w:rsidRPr="004B305C">
        <w:rPr>
          <w:rStyle w:val="Strong"/>
          <w:rFonts w:ascii="Arial" w:hAnsi="Arial" w:cs="Arial"/>
          <w:b w:val="0"/>
          <w:sz w:val="20"/>
          <w:szCs w:val="20"/>
        </w:rPr>
        <w:t>:10.1038</w:t>
      </w:r>
      <w:proofErr w:type="gramEnd"/>
      <w:r w:rsidRPr="004B305C">
        <w:rPr>
          <w:rStyle w:val="Strong"/>
          <w:rFonts w:ascii="Arial" w:hAnsi="Arial" w:cs="Arial"/>
          <w:b w:val="0"/>
          <w:sz w:val="20"/>
          <w:szCs w:val="20"/>
        </w:rPr>
        <w:t>/nature12271, 2013.</w:t>
      </w:r>
    </w:p>
  </w:footnote>
  <w:footnote w:id="28">
    <w:p w:rsidR="00731691" w:rsidRDefault="00731691" w:rsidP="0040269A">
      <w:pPr>
        <w:pStyle w:val="NormalWeb"/>
        <w:spacing w:before="0" w:beforeAutospacing="0" w:after="0" w:afterAutospacing="0"/>
      </w:pPr>
      <w:r>
        <w:rPr>
          <w:rStyle w:val="FootnoteReference"/>
        </w:rPr>
        <w:footnoteRef/>
      </w:r>
      <w:r>
        <w:t xml:space="preserve"> </w:t>
      </w:r>
      <w:r>
        <w:rPr>
          <w:rFonts w:ascii="Arial" w:hAnsi="Arial" w:cs="Arial"/>
          <w:sz w:val="20"/>
          <w:szCs w:val="20"/>
        </w:rPr>
        <w:t xml:space="preserve">See </w:t>
      </w:r>
      <w:r w:rsidRPr="00544201">
        <w:rPr>
          <w:rFonts w:ascii="Arial" w:hAnsi="Arial" w:cs="Arial"/>
          <w:sz w:val="20"/>
          <w:szCs w:val="20"/>
        </w:rPr>
        <w:t xml:space="preserve">the July 2 issue of </w:t>
      </w:r>
      <w:r w:rsidRPr="00544201">
        <w:rPr>
          <w:rFonts w:ascii="Arial" w:hAnsi="Arial" w:cs="Arial"/>
          <w:i/>
          <w:iCs/>
          <w:sz w:val="20"/>
          <w:szCs w:val="20"/>
        </w:rPr>
        <w:t>Biophysical Journal</w:t>
      </w:r>
      <w:r>
        <w:rPr>
          <w:rFonts w:ascii="Arial" w:hAnsi="Arial" w:cs="Arial"/>
          <w:sz w:val="20"/>
          <w:szCs w:val="20"/>
        </w:rPr>
        <w:t>, published by Cell Press.</w:t>
      </w:r>
    </w:p>
  </w:footnote>
  <w:footnote w:id="29">
    <w:p w:rsidR="00837332" w:rsidRPr="00A33118" w:rsidRDefault="00837332" w:rsidP="0040269A">
      <w:pPr>
        <w:pStyle w:val="FootnoteText"/>
        <w:rPr>
          <w:rFonts w:ascii="Arial" w:hAnsi="Arial" w:cs="Arial"/>
        </w:rPr>
      </w:pPr>
      <w:r>
        <w:rPr>
          <w:rStyle w:val="FootnoteReference"/>
        </w:rPr>
        <w:footnoteRef/>
      </w:r>
      <w:r>
        <w:t xml:space="preserve"> </w:t>
      </w:r>
      <w:proofErr w:type="gramStart"/>
      <w:r w:rsidRPr="00A33118">
        <w:rPr>
          <w:rFonts w:ascii="Arial" w:hAnsi="Arial" w:cs="Arial"/>
        </w:rPr>
        <w:t xml:space="preserve">Published in </w:t>
      </w:r>
      <w:r w:rsidRPr="00A33118">
        <w:rPr>
          <w:rFonts w:ascii="Arial" w:hAnsi="Arial" w:cs="Arial"/>
          <w:i/>
        </w:rPr>
        <w:t>Cancer Cell</w:t>
      </w:r>
      <w:r>
        <w:rPr>
          <w:rFonts w:ascii="Arial" w:hAnsi="Arial" w:cs="Arial"/>
          <w:i/>
        </w:rPr>
        <w:t>.</w:t>
      </w:r>
      <w:proofErr w:type="gramEnd"/>
      <w:r>
        <w:rPr>
          <w:rFonts w:ascii="Arial" w:hAnsi="Arial" w:cs="Arial"/>
          <w:i/>
        </w:rPr>
        <w:t xml:space="preserve">  </w:t>
      </w:r>
      <w:proofErr w:type="gramStart"/>
      <w:r w:rsidRPr="00A33118">
        <w:rPr>
          <w:rFonts w:ascii="Arial" w:hAnsi="Arial" w:cs="Arial"/>
        </w:rPr>
        <w:t xml:space="preserve">Senior </w:t>
      </w:r>
      <w:r>
        <w:rPr>
          <w:rFonts w:ascii="Arial" w:hAnsi="Arial" w:cs="Arial"/>
        </w:rPr>
        <w:t xml:space="preserve">author </w:t>
      </w:r>
      <w:r w:rsidRPr="00A33118">
        <w:rPr>
          <w:rFonts w:ascii="Arial" w:eastAsia="Times New Roman" w:hAnsi="Arial" w:cs="Arial"/>
        </w:rPr>
        <w:t xml:space="preserve">Stefan </w:t>
      </w:r>
      <w:proofErr w:type="spellStart"/>
      <w:r w:rsidRPr="00A33118">
        <w:rPr>
          <w:rFonts w:ascii="Arial" w:eastAsia="Times New Roman" w:hAnsi="Arial" w:cs="Arial"/>
        </w:rPr>
        <w:t>Offermanns</w:t>
      </w:r>
      <w:proofErr w:type="spellEnd"/>
      <w:r w:rsidRPr="00A33118">
        <w:rPr>
          <w:rFonts w:ascii="Arial" w:eastAsia="Times New Roman" w:hAnsi="Arial" w:cs="Arial"/>
        </w:rPr>
        <w:t>, Director of the Department of Pharmacology at the Institute</w:t>
      </w:r>
      <w:r>
        <w:rPr>
          <w:rFonts w:ascii="Arial" w:eastAsia="Times New Roman" w:hAnsi="Arial" w:cs="Arial"/>
        </w:rPr>
        <w:t>.</w:t>
      </w:r>
      <w:proofErr w:type="gramEnd"/>
    </w:p>
  </w:footnote>
  <w:footnote w:id="30">
    <w:p w:rsidR="0040269A" w:rsidRDefault="0040269A" w:rsidP="005A5525">
      <w:pPr>
        <w:spacing w:after="0" w:line="240" w:lineRule="auto"/>
      </w:pPr>
      <w:r>
        <w:rPr>
          <w:rStyle w:val="FootnoteReference"/>
        </w:rPr>
        <w:footnoteRef/>
      </w:r>
      <w:r>
        <w:t xml:space="preserve"> </w:t>
      </w:r>
      <w:r w:rsidRPr="00390B07">
        <w:rPr>
          <w:rFonts w:ascii="Arial" w:hAnsi="Arial" w:cs="Arial"/>
          <w:sz w:val="20"/>
          <w:szCs w:val="20"/>
        </w:rPr>
        <w:t xml:space="preserve">Christina J </w:t>
      </w:r>
      <w:proofErr w:type="spellStart"/>
      <w:r w:rsidRPr="00390B07">
        <w:rPr>
          <w:rFonts w:ascii="Arial" w:hAnsi="Arial" w:cs="Arial"/>
          <w:sz w:val="20"/>
          <w:szCs w:val="20"/>
        </w:rPr>
        <w:t>Sigurdson</w:t>
      </w:r>
      <w:proofErr w:type="spellEnd"/>
      <w:r w:rsidRPr="00390B07">
        <w:rPr>
          <w:rFonts w:ascii="Arial" w:hAnsi="Arial" w:cs="Arial"/>
          <w:sz w:val="20"/>
          <w:szCs w:val="20"/>
        </w:rPr>
        <w:t xml:space="preserve">, K Peter R Nilsson, Simone </w:t>
      </w:r>
      <w:proofErr w:type="spellStart"/>
      <w:r w:rsidRPr="00390B07">
        <w:rPr>
          <w:rFonts w:ascii="Arial" w:hAnsi="Arial" w:cs="Arial"/>
          <w:sz w:val="20"/>
          <w:szCs w:val="20"/>
        </w:rPr>
        <w:t>Hornemann</w:t>
      </w:r>
      <w:proofErr w:type="spellEnd"/>
      <w:r w:rsidRPr="00390B07">
        <w:rPr>
          <w:rFonts w:ascii="Arial" w:hAnsi="Arial" w:cs="Arial"/>
          <w:sz w:val="20"/>
          <w:szCs w:val="20"/>
        </w:rPr>
        <w:t xml:space="preserve">, </w:t>
      </w:r>
      <w:proofErr w:type="spellStart"/>
      <w:r w:rsidRPr="00390B07">
        <w:rPr>
          <w:rFonts w:ascii="Arial" w:hAnsi="Arial" w:cs="Arial"/>
          <w:sz w:val="20"/>
          <w:szCs w:val="20"/>
        </w:rPr>
        <w:t>Guiseppe</w:t>
      </w:r>
      <w:proofErr w:type="spellEnd"/>
      <w:r w:rsidRPr="00390B07">
        <w:rPr>
          <w:rFonts w:ascii="Arial" w:hAnsi="Arial" w:cs="Arial"/>
          <w:sz w:val="20"/>
          <w:szCs w:val="20"/>
        </w:rPr>
        <w:t xml:space="preserve"> </w:t>
      </w:r>
      <w:proofErr w:type="spellStart"/>
      <w:r w:rsidRPr="00390B07">
        <w:rPr>
          <w:rFonts w:ascii="Arial" w:hAnsi="Arial" w:cs="Arial"/>
          <w:sz w:val="20"/>
          <w:szCs w:val="20"/>
        </w:rPr>
        <w:t>Manco</w:t>
      </w:r>
      <w:proofErr w:type="spellEnd"/>
      <w:r w:rsidRPr="00390B07">
        <w:rPr>
          <w:rFonts w:ascii="Arial" w:hAnsi="Arial" w:cs="Arial"/>
          <w:sz w:val="20"/>
          <w:szCs w:val="20"/>
        </w:rPr>
        <w:t xml:space="preserve">, </w:t>
      </w:r>
      <w:proofErr w:type="spellStart"/>
      <w:r w:rsidRPr="00390B07">
        <w:rPr>
          <w:rFonts w:ascii="Arial" w:hAnsi="Arial" w:cs="Arial"/>
          <w:sz w:val="20"/>
          <w:szCs w:val="20"/>
        </w:rPr>
        <w:t>Magdalini</w:t>
      </w:r>
      <w:proofErr w:type="spellEnd"/>
      <w:r w:rsidRPr="00390B07">
        <w:rPr>
          <w:rFonts w:ascii="Arial" w:hAnsi="Arial" w:cs="Arial"/>
          <w:sz w:val="20"/>
          <w:szCs w:val="20"/>
        </w:rPr>
        <w:t xml:space="preserve"> </w:t>
      </w:r>
      <w:proofErr w:type="spellStart"/>
      <w:r w:rsidRPr="00390B07">
        <w:rPr>
          <w:rFonts w:ascii="Arial" w:hAnsi="Arial" w:cs="Arial"/>
          <w:sz w:val="20"/>
          <w:szCs w:val="20"/>
        </w:rPr>
        <w:t>Polymenidou</w:t>
      </w:r>
      <w:proofErr w:type="spellEnd"/>
      <w:r w:rsidRPr="00390B07">
        <w:rPr>
          <w:rFonts w:ascii="Arial" w:hAnsi="Arial" w:cs="Arial"/>
          <w:sz w:val="20"/>
          <w:szCs w:val="20"/>
        </w:rPr>
        <w:t xml:space="preserve">, Petra Schwartz, Mario Leclerc, Per </w:t>
      </w:r>
      <w:proofErr w:type="spellStart"/>
      <w:r w:rsidRPr="00390B07">
        <w:rPr>
          <w:rFonts w:ascii="Arial" w:hAnsi="Arial" w:cs="Arial"/>
          <w:sz w:val="20"/>
          <w:szCs w:val="20"/>
        </w:rPr>
        <w:t>Hammarström</w:t>
      </w:r>
      <w:proofErr w:type="spellEnd"/>
      <w:r w:rsidRPr="00390B07">
        <w:rPr>
          <w:rFonts w:ascii="Arial" w:hAnsi="Arial" w:cs="Arial"/>
          <w:sz w:val="20"/>
          <w:szCs w:val="20"/>
        </w:rPr>
        <w:t xml:space="preserve">, Kurt </w:t>
      </w:r>
      <w:proofErr w:type="spellStart"/>
      <w:r w:rsidRPr="00390B07">
        <w:rPr>
          <w:rFonts w:ascii="Arial" w:hAnsi="Arial" w:cs="Arial"/>
          <w:sz w:val="20"/>
          <w:szCs w:val="20"/>
        </w:rPr>
        <w:t>Wüthrich</w:t>
      </w:r>
      <w:proofErr w:type="spellEnd"/>
      <w:r w:rsidRPr="00390B07">
        <w:rPr>
          <w:rFonts w:ascii="Arial" w:hAnsi="Arial" w:cs="Arial"/>
          <w:sz w:val="20"/>
          <w:szCs w:val="20"/>
        </w:rPr>
        <w:t xml:space="preserve">, and Adriano </w:t>
      </w:r>
      <w:proofErr w:type="spellStart"/>
      <w:r w:rsidRPr="00390B07">
        <w:rPr>
          <w:rFonts w:ascii="Arial" w:hAnsi="Arial" w:cs="Arial"/>
          <w:sz w:val="20"/>
          <w:szCs w:val="20"/>
        </w:rPr>
        <w:t>Aguzzi</w:t>
      </w:r>
      <w:proofErr w:type="spellEnd"/>
      <w:r w:rsidRPr="00390B07">
        <w:rPr>
          <w:rFonts w:ascii="Arial" w:hAnsi="Arial" w:cs="Arial"/>
          <w:sz w:val="20"/>
          <w:szCs w:val="20"/>
        </w:rPr>
        <w:t xml:space="preserve">. “Prion strain discrimination using luminescent conjugated polymers.” </w:t>
      </w:r>
      <w:proofErr w:type="gramStart"/>
      <w:r w:rsidRPr="00390B07">
        <w:rPr>
          <w:rFonts w:ascii="Arial" w:hAnsi="Arial" w:cs="Arial"/>
          <w:i/>
          <w:sz w:val="20"/>
          <w:szCs w:val="20"/>
        </w:rPr>
        <w:t>Nature Methods</w:t>
      </w:r>
      <w:r w:rsidRPr="00390B07">
        <w:rPr>
          <w:rFonts w:ascii="Arial" w:hAnsi="Arial" w:cs="Arial"/>
          <w:sz w:val="20"/>
          <w:szCs w:val="20"/>
        </w:rPr>
        <w:t xml:space="preserve"> - 4, 1023-30 (2007).</w:t>
      </w:r>
      <w:proofErr w:type="gramEnd"/>
      <w:r w:rsidRPr="00390B07">
        <w:rPr>
          <w:rFonts w:ascii="Arial" w:hAnsi="Arial" w:cs="Arial"/>
          <w:sz w:val="20"/>
          <w:szCs w:val="20"/>
        </w:rPr>
        <w:t xml:space="preserve"> Published online: 18 November 2007; | doi:10.1038/nmeth1131</w:t>
      </w:r>
      <w:r w:rsidR="005A5525">
        <w:rPr>
          <w:rFonts w:ascii="Arial" w:hAnsi="Arial" w:cs="Arial"/>
          <w:sz w:val="20"/>
          <w:szCs w:val="20"/>
        </w:rPr>
        <w:t xml:space="preserve"> </w:t>
      </w:r>
      <w:hyperlink r:id="rId14" w:tgtFrame="_blank" w:history="1">
        <w:r w:rsidRPr="00390B07">
          <w:rPr>
            <w:rStyle w:val="Hyperlink"/>
            <w:rFonts w:ascii="Arial" w:hAnsi="Arial" w:cs="Arial"/>
            <w:sz w:val="20"/>
            <w:szCs w:val="20"/>
          </w:rPr>
          <w:t>www.nature.com/nmeth/journal/v4/n12/abs/nmeth1131.html</w:t>
        </w:r>
      </w:hyperlink>
      <w:r w:rsidRPr="00390B07">
        <w:rPr>
          <w:rFonts w:ascii="Arial" w:hAnsi="Arial" w:cs="Arial"/>
          <w:sz w:val="20"/>
          <w:szCs w:val="20"/>
        </w:rPr>
        <w:t xml:space="preserve"> </w:t>
      </w:r>
    </w:p>
  </w:footnote>
  <w:footnote w:id="31">
    <w:p w:rsidR="005A5525" w:rsidRDefault="005A5525" w:rsidP="005A5525">
      <w:pPr>
        <w:pStyle w:val="NormalWeb"/>
        <w:spacing w:before="0" w:beforeAutospacing="0" w:after="0" w:afterAutospacing="0"/>
      </w:pPr>
      <w:r>
        <w:rPr>
          <w:rStyle w:val="FootnoteReference"/>
        </w:rPr>
        <w:footnoteRef/>
      </w:r>
      <w:r>
        <w:t xml:space="preserve"> </w:t>
      </w:r>
      <w:r w:rsidRPr="00A742B5">
        <w:rPr>
          <w:rFonts w:ascii="Arial" w:hAnsi="Arial" w:cs="Arial"/>
          <w:color w:val="000000"/>
          <w:sz w:val="20"/>
          <w:szCs w:val="20"/>
        </w:rPr>
        <w:t xml:space="preserve">The study was published online in the journal </w:t>
      </w:r>
      <w:r w:rsidRPr="00A742B5">
        <w:rPr>
          <w:rFonts w:ascii="Arial" w:hAnsi="Arial" w:cs="Arial"/>
          <w:i/>
          <w:color w:val="000000"/>
          <w:sz w:val="20"/>
          <w:szCs w:val="20"/>
        </w:rPr>
        <w:t>Blood</w:t>
      </w:r>
      <w:r>
        <w:rPr>
          <w:rFonts w:ascii="Georgia" w:hAnsi="Georgia"/>
          <w:color w:val="000000"/>
        </w:rPr>
        <w:t xml:space="preserve">. </w:t>
      </w:r>
    </w:p>
  </w:footnote>
  <w:footnote w:id="32">
    <w:p w:rsidR="00430372" w:rsidRDefault="00430372">
      <w:pPr>
        <w:pStyle w:val="FootnoteText"/>
      </w:pPr>
      <w:r>
        <w:rPr>
          <w:rStyle w:val="FootnoteReference"/>
        </w:rPr>
        <w:footnoteRef/>
      </w:r>
      <w:r>
        <w:t xml:space="preserve"> </w:t>
      </w:r>
      <w:r w:rsidRPr="00952A87">
        <w:rPr>
          <w:rFonts w:ascii="Arial" w:eastAsia="Times New Roman" w:hAnsi="Arial" w:cs="Arial"/>
          <w:lang w:eastAsia="en-AU"/>
        </w:rPr>
        <w:t xml:space="preserve">"Induction of a </w:t>
      </w:r>
      <w:proofErr w:type="spellStart"/>
      <w:r w:rsidRPr="00952A87">
        <w:rPr>
          <w:rFonts w:ascii="Arial" w:eastAsia="Times New Roman" w:hAnsi="Arial" w:cs="Arial"/>
          <w:lang w:eastAsia="en-AU"/>
        </w:rPr>
        <w:t>Hemogenic</w:t>
      </w:r>
      <w:proofErr w:type="spellEnd"/>
      <w:r w:rsidRPr="00952A87">
        <w:rPr>
          <w:rFonts w:ascii="Arial" w:eastAsia="Times New Roman" w:hAnsi="Arial" w:cs="Arial"/>
          <w:lang w:eastAsia="en-AU"/>
        </w:rPr>
        <w:t xml:space="preserve"> Program in Mouse Fibroblasts," was published online in </w:t>
      </w:r>
      <w:r w:rsidRPr="00952A87">
        <w:rPr>
          <w:rFonts w:ascii="Arial" w:eastAsia="Times New Roman" w:hAnsi="Arial" w:cs="Arial"/>
          <w:i/>
          <w:iCs/>
          <w:lang w:eastAsia="en-AU"/>
        </w:rPr>
        <w:t>CELL STEM CELL</w:t>
      </w:r>
      <w:r w:rsidRPr="00952A87">
        <w:rPr>
          <w:rFonts w:ascii="Arial" w:eastAsia="Times New Roman" w:hAnsi="Arial" w:cs="Arial"/>
          <w:lang w:eastAsia="en-AU"/>
        </w:rPr>
        <w:t xml:space="preserve"> on June 13</w:t>
      </w:r>
      <w:r>
        <w:rPr>
          <w:rFonts w:ascii="Arial" w:eastAsia="Times New Roman" w:hAnsi="Arial" w:cs="Arial"/>
          <w:lang w:eastAsia="en-AU"/>
        </w:rPr>
        <w:t>.</w:t>
      </w:r>
    </w:p>
  </w:footnote>
  <w:footnote w:id="33">
    <w:p w:rsidR="00A46566" w:rsidRPr="00A46566" w:rsidRDefault="00A46566">
      <w:pPr>
        <w:pStyle w:val="FootnoteText"/>
        <w:rPr>
          <w:rFonts w:ascii="Arial" w:hAnsi="Arial" w:cs="Arial"/>
        </w:rPr>
      </w:pPr>
      <w:r>
        <w:rPr>
          <w:rStyle w:val="FootnoteReference"/>
        </w:rPr>
        <w:footnoteRef/>
      </w:r>
      <w:r>
        <w:t xml:space="preserve"> </w:t>
      </w:r>
      <w:r>
        <w:rPr>
          <w:rFonts w:ascii="Arial" w:hAnsi="Arial" w:cs="Arial"/>
        </w:rPr>
        <w:t xml:space="preserve">The findings were published in </w:t>
      </w:r>
      <w:r>
        <w:rPr>
          <w:rFonts w:ascii="Arial" w:hAnsi="Arial" w:cs="Arial"/>
          <w:i/>
        </w:rPr>
        <w:t>Nature Nanotechnology,</w:t>
      </w:r>
      <w:r>
        <w:rPr>
          <w:rFonts w:ascii="Arial" w:hAnsi="Arial" w:cs="Arial"/>
        </w:rPr>
        <w:t xml:space="preserve"> April 14 2013.</w:t>
      </w:r>
    </w:p>
  </w:footnote>
  <w:footnote w:id="34">
    <w:p w:rsidR="007C6F24" w:rsidRDefault="007C6F24">
      <w:pPr>
        <w:pStyle w:val="FootnoteText"/>
      </w:pPr>
      <w:r>
        <w:rPr>
          <w:rStyle w:val="FootnoteReference"/>
        </w:rPr>
        <w:footnoteRef/>
      </w:r>
      <w:r>
        <w:t xml:space="preserve"> </w:t>
      </w:r>
      <w:r w:rsidRPr="007C6F24">
        <w:rPr>
          <w:rFonts w:ascii="Arial" w:hAnsi="Arial" w:cs="Arial"/>
          <w:i/>
        </w:rPr>
        <w:t>Journal of Clinical Investigation</w:t>
      </w:r>
    </w:p>
  </w:footnote>
  <w:footnote w:id="35">
    <w:p w:rsidR="00BE010E" w:rsidRPr="00BA4D84" w:rsidRDefault="00BE010E" w:rsidP="00BA4D84">
      <w:pPr>
        <w:spacing w:after="0" w:line="240" w:lineRule="auto"/>
        <w:rPr>
          <w:rFonts w:ascii="Arial" w:hAnsi="Arial" w:cs="Arial"/>
          <w:sz w:val="20"/>
          <w:szCs w:val="20"/>
        </w:rPr>
      </w:pPr>
      <w:r w:rsidRPr="00BA4D84">
        <w:rPr>
          <w:rStyle w:val="FootnoteReference"/>
          <w:rFonts w:ascii="Arial" w:hAnsi="Arial" w:cs="Arial"/>
          <w:sz w:val="20"/>
          <w:szCs w:val="20"/>
        </w:rPr>
        <w:footnoteRef/>
      </w:r>
      <w:r w:rsidRPr="00BA4D84">
        <w:rPr>
          <w:rFonts w:ascii="Arial" w:hAnsi="Arial" w:cs="Arial"/>
          <w:sz w:val="20"/>
          <w:szCs w:val="20"/>
        </w:rPr>
        <w:t xml:space="preserve"> </w:t>
      </w:r>
      <w:hyperlink r:id="rId15" w:history="1">
        <w:proofErr w:type="spellStart"/>
        <w:r w:rsidRPr="00BA4D84">
          <w:rPr>
            <w:rStyle w:val="Hyperlink"/>
            <w:rFonts w:ascii="Arial" w:hAnsi="Arial" w:cs="Arial"/>
            <w:color w:val="auto"/>
            <w:sz w:val="20"/>
            <w:szCs w:val="20"/>
            <w:u w:val="none"/>
          </w:rPr>
          <w:t>Hongjie</w:t>
        </w:r>
        <w:proofErr w:type="spellEnd"/>
        <w:r w:rsidRPr="00BA4D84">
          <w:rPr>
            <w:rStyle w:val="Hyperlink"/>
            <w:rFonts w:ascii="Arial" w:hAnsi="Arial" w:cs="Arial"/>
            <w:color w:val="auto"/>
            <w:sz w:val="20"/>
            <w:szCs w:val="20"/>
            <w:u w:val="none"/>
          </w:rPr>
          <w:t xml:space="preserve"> Yu</w:t>
        </w:r>
      </w:hyperlink>
      <w:r w:rsidRPr="00BA4D84">
        <w:rPr>
          <w:rStyle w:val="ja50-ce-author"/>
          <w:rFonts w:ascii="Arial" w:hAnsi="Arial" w:cs="Arial"/>
          <w:sz w:val="20"/>
          <w:szCs w:val="20"/>
        </w:rPr>
        <w:t xml:space="preserve"> et </w:t>
      </w:r>
      <w:proofErr w:type="spellStart"/>
      <w:r w:rsidRPr="00BA4D84">
        <w:rPr>
          <w:rStyle w:val="ja50-ce-author"/>
          <w:rFonts w:ascii="Arial" w:hAnsi="Arial" w:cs="Arial"/>
          <w:sz w:val="20"/>
          <w:szCs w:val="20"/>
        </w:rPr>
        <w:t>al,”</w:t>
      </w:r>
      <w:r w:rsidRPr="00BA4D84">
        <w:rPr>
          <w:rFonts w:ascii="Arial" w:hAnsi="Arial" w:cs="Arial"/>
          <w:sz w:val="20"/>
          <w:szCs w:val="20"/>
        </w:rPr>
        <w:t>Human</w:t>
      </w:r>
      <w:proofErr w:type="spellEnd"/>
      <w:r w:rsidRPr="00BA4D84">
        <w:rPr>
          <w:rFonts w:ascii="Arial" w:hAnsi="Arial" w:cs="Arial"/>
          <w:sz w:val="20"/>
          <w:szCs w:val="20"/>
        </w:rPr>
        <w:t xml:space="preserve"> infection with avian influenza A H7N9 virus: an assessment of clinical severity”, The Lancet, Early Online Publication, 24 June 2013 </w:t>
      </w:r>
      <w:r w:rsidRPr="00BA4D84">
        <w:rPr>
          <w:rFonts w:ascii="Arial" w:hAnsi="Arial" w:cs="Arial"/>
          <w:color w:val="404040"/>
          <w:sz w:val="20"/>
          <w:szCs w:val="20"/>
        </w:rPr>
        <w:t>doi:10.1016/S0140-6736(13)61207-6</w:t>
      </w:r>
    </w:p>
  </w:footnote>
  <w:footnote w:id="36">
    <w:p w:rsidR="00347DAD" w:rsidRDefault="00347DAD" w:rsidP="00C20C27">
      <w:pPr>
        <w:spacing w:after="0" w:line="240" w:lineRule="auto"/>
        <w:rPr>
          <w:rStyle w:val="Hyperlink"/>
          <w:rFonts w:ascii="Arial" w:hAnsi="Arial" w:cs="Arial"/>
          <w:sz w:val="20"/>
          <w:szCs w:val="20"/>
        </w:rPr>
      </w:pPr>
      <w:r>
        <w:rPr>
          <w:rStyle w:val="FootnoteReference"/>
        </w:rPr>
        <w:footnoteRef/>
      </w:r>
      <w:r>
        <w:t xml:space="preserve"> </w:t>
      </w:r>
      <w:hyperlink r:id="rId16" w:tgtFrame="_blank" w:history="1">
        <w:r w:rsidRPr="00BD05AF">
          <w:rPr>
            <w:rStyle w:val="Hyperlink"/>
            <w:rFonts w:ascii="Arial" w:hAnsi="Arial" w:cs="Arial"/>
            <w:color w:val="auto"/>
            <w:sz w:val="20"/>
            <w:szCs w:val="20"/>
            <w:u w:val="none"/>
          </w:rPr>
          <w:t xml:space="preserve">Farrar J, et al "Effect of double dose </w:t>
        </w:r>
        <w:proofErr w:type="spellStart"/>
        <w:r w:rsidRPr="00BD05AF">
          <w:rPr>
            <w:rStyle w:val="Hyperlink"/>
            <w:rFonts w:ascii="Arial" w:hAnsi="Arial" w:cs="Arial"/>
            <w:color w:val="auto"/>
            <w:sz w:val="20"/>
            <w:szCs w:val="20"/>
            <w:u w:val="none"/>
          </w:rPr>
          <w:t>oseltamivir</w:t>
        </w:r>
        <w:proofErr w:type="spellEnd"/>
        <w:r w:rsidRPr="00BD05AF">
          <w:rPr>
            <w:rStyle w:val="Hyperlink"/>
            <w:rFonts w:ascii="Arial" w:hAnsi="Arial" w:cs="Arial"/>
            <w:color w:val="auto"/>
            <w:sz w:val="20"/>
            <w:szCs w:val="20"/>
            <w:u w:val="none"/>
          </w:rPr>
          <w:t xml:space="preserve"> on clinical and virological outcomes in children and adults admitted to hospital with severe influenza: double blind randomized controlled trial" </w:t>
        </w:r>
        <w:r w:rsidRPr="00BD05AF">
          <w:rPr>
            <w:rStyle w:val="Emphasis"/>
            <w:rFonts w:ascii="Arial" w:hAnsi="Arial" w:cs="Arial"/>
            <w:sz w:val="20"/>
            <w:szCs w:val="20"/>
          </w:rPr>
          <w:t>BMJ</w:t>
        </w:r>
        <w:r w:rsidRPr="00BD05AF">
          <w:rPr>
            <w:rStyle w:val="Hyperlink"/>
            <w:rFonts w:ascii="Arial" w:hAnsi="Arial" w:cs="Arial"/>
            <w:sz w:val="20"/>
            <w:szCs w:val="20"/>
          </w:rPr>
          <w:t xml:space="preserve"> 2013; DOI:10.1136/bmj.f3039.</w:t>
        </w:r>
      </w:hyperlink>
    </w:p>
    <w:p w:rsidR="00347DAD" w:rsidRDefault="0044518E" w:rsidP="00C20C27">
      <w:pPr>
        <w:spacing w:after="0" w:line="240" w:lineRule="auto"/>
        <w:rPr>
          <w:rStyle w:val="Hyperlink"/>
          <w:rFonts w:ascii="Arial" w:hAnsi="Arial" w:cs="Arial"/>
          <w:sz w:val="20"/>
          <w:szCs w:val="20"/>
        </w:rPr>
      </w:pPr>
      <w:hyperlink r:id="rId17" w:tgtFrame="_blank" w:history="1">
        <w:r w:rsidR="00347DAD" w:rsidRPr="00BD05AF">
          <w:rPr>
            <w:rStyle w:val="Hyperlink"/>
            <w:rFonts w:ascii="Arial" w:hAnsi="Arial" w:cs="Arial"/>
            <w:color w:val="auto"/>
            <w:sz w:val="20"/>
            <w:szCs w:val="20"/>
            <w:u w:val="none"/>
          </w:rPr>
          <w:t xml:space="preserve">Barr I, Hurt A "Double dose </w:t>
        </w:r>
        <w:proofErr w:type="spellStart"/>
        <w:r w:rsidR="00347DAD" w:rsidRPr="00BD05AF">
          <w:rPr>
            <w:rStyle w:val="Hyperlink"/>
            <w:rFonts w:ascii="Arial" w:hAnsi="Arial" w:cs="Arial"/>
            <w:color w:val="auto"/>
            <w:sz w:val="20"/>
            <w:szCs w:val="20"/>
            <w:u w:val="none"/>
          </w:rPr>
          <w:t>oseltamivir</w:t>
        </w:r>
        <w:proofErr w:type="spellEnd"/>
        <w:r w:rsidR="00347DAD" w:rsidRPr="00BD05AF">
          <w:rPr>
            <w:rStyle w:val="Hyperlink"/>
            <w:rFonts w:ascii="Arial" w:hAnsi="Arial" w:cs="Arial"/>
            <w:color w:val="auto"/>
            <w:sz w:val="20"/>
            <w:szCs w:val="20"/>
            <w:u w:val="none"/>
          </w:rPr>
          <w:t xml:space="preserve"> for severe influenza -- does it help?" </w:t>
        </w:r>
        <w:proofErr w:type="gramStart"/>
        <w:r w:rsidR="00347DAD" w:rsidRPr="00BD05AF">
          <w:rPr>
            <w:rStyle w:val="Emphasis"/>
            <w:rFonts w:ascii="Arial" w:hAnsi="Arial" w:cs="Arial"/>
            <w:color w:val="003F85"/>
            <w:sz w:val="20"/>
            <w:szCs w:val="20"/>
          </w:rPr>
          <w:t>BMJ</w:t>
        </w:r>
        <w:r w:rsidR="00347DAD" w:rsidRPr="00BD05AF">
          <w:rPr>
            <w:rStyle w:val="Hyperlink"/>
            <w:rFonts w:ascii="Arial" w:hAnsi="Arial" w:cs="Arial"/>
            <w:sz w:val="20"/>
            <w:szCs w:val="20"/>
          </w:rPr>
          <w:t xml:space="preserve"> 2013; DOI:10.1136/bmj.f3449.</w:t>
        </w:r>
        <w:proofErr w:type="gramEnd"/>
      </w:hyperlink>
    </w:p>
    <w:p w:rsidR="00347DAD" w:rsidRDefault="00347DAD" w:rsidP="00C20C27">
      <w:pPr>
        <w:spacing w:after="0" w:line="240" w:lineRule="auto"/>
      </w:pPr>
      <w:r w:rsidRPr="00BD05AF">
        <w:rPr>
          <w:rFonts w:ascii="Arial" w:hAnsi="Arial" w:cs="Arial"/>
          <w:color w:val="333333"/>
          <w:sz w:val="20"/>
          <w:szCs w:val="20"/>
        </w:rPr>
        <w:t xml:space="preserve">The study was funded by the US National Institute of Allergy and Infectious Diseases, the </w:t>
      </w:r>
      <w:proofErr w:type="spellStart"/>
      <w:r w:rsidRPr="00BD05AF">
        <w:rPr>
          <w:rFonts w:ascii="Arial" w:hAnsi="Arial" w:cs="Arial"/>
          <w:color w:val="333333"/>
          <w:sz w:val="20"/>
          <w:szCs w:val="20"/>
        </w:rPr>
        <w:t>Wellcome</w:t>
      </w:r>
      <w:proofErr w:type="spellEnd"/>
      <w:r w:rsidRPr="00BD05AF">
        <w:rPr>
          <w:rFonts w:ascii="Arial" w:hAnsi="Arial" w:cs="Arial"/>
          <w:color w:val="333333"/>
          <w:sz w:val="20"/>
          <w:szCs w:val="20"/>
        </w:rPr>
        <w:t xml:space="preserve"> Trust of Great Britain, and the Singapore National Medical Research Council</w:t>
      </w:r>
      <w:r w:rsidR="008331DF">
        <w:rPr>
          <w:rFonts w:ascii="Arial" w:hAnsi="Arial" w:cs="Arial"/>
          <w:color w:val="333333"/>
          <w:sz w:val="20"/>
          <w:szCs w:val="20"/>
        </w:rPr>
        <w:t xml:space="preserve">. </w:t>
      </w:r>
    </w:p>
  </w:footnote>
  <w:footnote w:id="37">
    <w:p w:rsidR="00DB7DED" w:rsidRPr="00DB7DED" w:rsidRDefault="000439A0" w:rsidP="00DB7DED">
      <w:pPr>
        <w:spacing w:after="0" w:line="240" w:lineRule="auto"/>
        <w:outlineLvl w:val="1"/>
        <w:rPr>
          <w:rFonts w:ascii="Arial" w:eastAsia="Times New Roman" w:hAnsi="Arial" w:cs="Arial"/>
          <w:sz w:val="20"/>
          <w:szCs w:val="20"/>
        </w:rPr>
      </w:pPr>
      <w:r>
        <w:rPr>
          <w:rStyle w:val="FootnoteReference"/>
        </w:rPr>
        <w:footnoteRef/>
      </w:r>
      <w:r>
        <w:t xml:space="preserve"> </w:t>
      </w:r>
      <w:r w:rsidRPr="00BF2D69">
        <w:rPr>
          <w:rFonts w:ascii="Arial" w:eastAsia="Times New Roman" w:hAnsi="Arial" w:cs="Arial"/>
          <w:sz w:val="20"/>
          <w:szCs w:val="20"/>
        </w:rPr>
        <w:t xml:space="preserve">Abdullah </w:t>
      </w:r>
      <w:proofErr w:type="spellStart"/>
      <w:r w:rsidRPr="00BF2D69">
        <w:rPr>
          <w:rFonts w:ascii="Arial" w:eastAsia="Times New Roman" w:hAnsi="Arial" w:cs="Arial"/>
          <w:sz w:val="20"/>
          <w:szCs w:val="20"/>
        </w:rPr>
        <w:t>Assiri</w:t>
      </w:r>
      <w:proofErr w:type="spellEnd"/>
      <w:r w:rsidRPr="00BF2D69">
        <w:rPr>
          <w:rFonts w:ascii="Arial" w:eastAsia="Times New Roman" w:hAnsi="Arial" w:cs="Arial"/>
          <w:sz w:val="20"/>
          <w:szCs w:val="20"/>
        </w:rPr>
        <w:t xml:space="preserve">, M.D., Allison </w:t>
      </w:r>
      <w:proofErr w:type="spellStart"/>
      <w:r w:rsidRPr="00BF2D69">
        <w:rPr>
          <w:rFonts w:ascii="Arial" w:eastAsia="Times New Roman" w:hAnsi="Arial" w:cs="Arial"/>
          <w:sz w:val="20"/>
          <w:szCs w:val="20"/>
        </w:rPr>
        <w:t>McGeer</w:t>
      </w:r>
      <w:proofErr w:type="spellEnd"/>
      <w:r w:rsidRPr="00BF2D69">
        <w:rPr>
          <w:rFonts w:ascii="Arial" w:eastAsia="Times New Roman" w:hAnsi="Arial" w:cs="Arial"/>
          <w:sz w:val="20"/>
          <w:szCs w:val="20"/>
        </w:rPr>
        <w:t xml:space="preserve">, M.D., Trish M. Perl, M.D., Connie S. Price, M.D., Abdullah A. Al </w:t>
      </w:r>
      <w:proofErr w:type="spellStart"/>
      <w:r w:rsidRPr="00BF2D69">
        <w:rPr>
          <w:rFonts w:ascii="Arial" w:eastAsia="Times New Roman" w:hAnsi="Arial" w:cs="Arial"/>
          <w:sz w:val="20"/>
          <w:szCs w:val="20"/>
        </w:rPr>
        <w:t>Rabeeah</w:t>
      </w:r>
      <w:proofErr w:type="spellEnd"/>
      <w:r w:rsidRPr="00BF2D69">
        <w:rPr>
          <w:rFonts w:ascii="Arial" w:eastAsia="Times New Roman" w:hAnsi="Arial" w:cs="Arial"/>
          <w:sz w:val="20"/>
          <w:szCs w:val="20"/>
        </w:rPr>
        <w:t xml:space="preserve">, M.D., Derek A.T. Cummings, Ph.D., </w:t>
      </w:r>
      <w:proofErr w:type="spellStart"/>
      <w:r w:rsidRPr="00BF2D69">
        <w:rPr>
          <w:rFonts w:ascii="Arial" w:eastAsia="Times New Roman" w:hAnsi="Arial" w:cs="Arial"/>
          <w:sz w:val="20"/>
          <w:szCs w:val="20"/>
        </w:rPr>
        <w:t>Zaki</w:t>
      </w:r>
      <w:proofErr w:type="spellEnd"/>
      <w:r w:rsidRPr="00BF2D69">
        <w:rPr>
          <w:rFonts w:ascii="Arial" w:eastAsia="Times New Roman" w:hAnsi="Arial" w:cs="Arial"/>
          <w:sz w:val="20"/>
          <w:szCs w:val="20"/>
        </w:rPr>
        <w:t xml:space="preserve"> N. </w:t>
      </w:r>
      <w:proofErr w:type="spellStart"/>
      <w:r w:rsidRPr="00BF2D69">
        <w:rPr>
          <w:rFonts w:ascii="Arial" w:eastAsia="Times New Roman" w:hAnsi="Arial" w:cs="Arial"/>
          <w:sz w:val="20"/>
          <w:szCs w:val="20"/>
        </w:rPr>
        <w:t>Alabdullatif</w:t>
      </w:r>
      <w:proofErr w:type="spellEnd"/>
      <w:r w:rsidRPr="00BF2D69">
        <w:rPr>
          <w:rFonts w:ascii="Arial" w:eastAsia="Times New Roman" w:hAnsi="Arial" w:cs="Arial"/>
          <w:sz w:val="20"/>
          <w:szCs w:val="20"/>
        </w:rPr>
        <w:t xml:space="preserve">, M.D., Maher Assad, M.D., </w:t>
      </w:r>
      <w:proofErr w:type="spellStart"/>
      <w:r w:rsidRPr="00BF2D69">
        <w:rPr>
          <w:rFonts w:ascii="Arial" w:eastAsia="Times New Roman" w:hAnsi="Arial" w:cs="Arial"/>
          <w:sz w:val="20"/>
          <w:szCs w:val="20"/>
        </w:rPr>
        <w:t>Abdulmohsen</w:t>
      </w:r>
      <w:proofErr w:type="spellEnd"/>
      <w:r w:rsidRPr="00BF2D69">
        <w:rPr>
          <w:rFonts w:ascii="Arial" w:eastAsia="Times New Roman" w:hAnsi="Arial" w:cs="Arial"/>
          <w:sz w:val="20"/>
          <w:szCs w:val="20"/>
        </w:rPr>
        <w:t xml:space="preserve"> </w:t>
      </w:r>
      <w:proofErr w:type="spellStart"/>
      <w:r w:rsidRPr="00BF2D69">
        <w:rPr>
          <w:rFonts w:ascii="Arial" w:eastAsia="Times New Roman" w:hAnsi="Arial" w:cs="Arial"/>
          <w:sz w:val="20"/>
          <w:szCs w:val="20"/>
        </w:rPr>
        <w:t>Almulhim</w:t>
      </w:r>
      <w:proofErr w:type="spellEnd"/>
      <w:r w:rsidRPr="00BF2D69">
        <w:rPr>
          <w:rFonts w:ascii="Arial" w:eastAsia="Times New Roman" w:hAnsi="Arial" w:cs="Arial"/>
          <w:sz w:val="20"/>
          <w:szCs w:val="20"/>
        </w:rPr>
        <w:t xml:space="preserve">, M.D., </w:t>
      </w:r>
      <w:proofErr w:type="spellStart"/>
      <w:r w:rsidRPr="00BF2D69">
        <w:rPr>
          <w:rFonts w:ascii="Arial" w:eastAsia="Times New Roman" w:hAnsi="Arial" w:cs="Arial"/>
          <w:sz w:val="20"/>
          <w:szCs w:val="20"/>
        </w:rPr>
        <w:t>Hatem</w:t>
      </w:r>
      <w:proofErr w:type="spellEnd"/>
      <w:r w:rsidRPr="00BF2D69">
        <w:rPr>
          <w:rFonts w:ascii="Arial" w:eastAsia="Times New Roman" w:hAnsi="Arial" w:cs="Arial"/>
          <w:sz w:val="20"/>
          <w:szCs w:val="20"/>
        </w:rPr>
        <w:t xml:space="preserve"> </w:t>
      </w:r>
      <w:proofErr w:type="spellStart"/>
      <w:r w:rsidRPr="00BF2D69">
        <w:rPr>
          <w:rFonts w:ascii="Arial" w:eastAsia="Times New Roman" w:hAnsi="Arial" w:cs="Arial"/>
          <w:sz w:val="20"/>
          <w:szCs w:val="20"/>
        </w:rPr>
        <w:t>Makhdoom</w:t>
      </w:r>
      <w:proofErr w:type="spellEnd"/>
      <w:r w:rsidRPr="00BF2D69">
        <w:rPr>
          <w:rFonts w:ascii="Arial" w:eastAsia="Times New Roman" w:hAnsi="Arial" w:cs="Arial"/>
          <w:sz w:val="20"/>
          <w:szCs w:val="20"/>
        </w:rPr>
        <w:t xml:space="preserve">, Ph.D., </w:t>
      </w:r>
      <w:proofErr w:type="spellStart"/>
      <w:r w:rsidRPr="00BF2D69">
        <w:rPr>
          <w:rFonts w:ascii="Arial" w:eastAsia="Times New Roman" w:hAnsi="Arial" w:cs="Arial"/>
          <w:sz w:val="20"/>
          <w:szCs w:val="20"/>
        </w:rPr>
        <w:t>Hossam</w:t>
      </w:r>
      <w:proofErr w:type="spellEnd"/>
      <w:r w:rsidRPr="00BF2D69">
        <w:rPr>
          <w:rFonts w:ascii="Arial" w:eastAsia="Times New Roman" w:hAnsi="Arial" w:cs="Arial"/>
          <w:sz w:val="20"/>
          <w:szCs w:val="20"/>
        </w:rPr>
        <w:t xml:space="preserve"> </w:t>
      </w:r>
      <w:proofErr w:type="spellStart"/>
      <w:r w:rsidRPr="00BF2D69">
        <w:rPr>
          <w:rFonts w:ascii="Arial" w:eastAsia="Times New Roman" w:hAnsi="Arial" w:cs="Arial"/>
          <w:sz w:val="20"/>
          <w:szCs w:val="20"/>
        </w:rPr>
        <w:t>Madani</w:t>
      </w:r>
      <w:proofErr w:type="spellEnd"/>
      <w:r w:rsidRPr="00BF2D69">
        <w:rPr>
          <w:rFonts w:ascii="Arial" w:eastAsia="Times New Roman" w:hAnsi="Arial" w:cs="Arial"/>
          <w:sz w:val="20"/>
          <w:szCs w:val="20"/>
        </w:rPr>
        <w:t xml:space="preserve">, Ph.D., </w:t>
      </w:r>
      <w:proofErr w:type="spellStart"/>
      <w:r w:rsidRPr="00BF2D69">
        <w:rPr>
          <w:rFonts w:ascii="Arial" w:eastAsia="Times New Roman" w:hAnsi="Arial" w:cs="Arial"/>
          <w:sz w:val="20"/>
          <w:szCs w:val="20"/>
        </w:rPr>
        <w:t>Rafat</w:t>
      </w:r>
      <w:proofErr w:type="spellEnd"/>
      <w:r w:rsidRPr="00BF2D69">
        <w:rPr>
          <w:rFonts w:ascii="Arial" w:eastAsia="Times New Roman" w:hAnsi="Arial" w:cs="Arial"/>
          <w:sz w:val="20"/>
          <w:szCs w:val="20"/>
        </w:rPr>
        <w:t xml:space="preserve"> </w:t>
      </w:r>
      <w:proofErr w:type="spellStart"/>
      <w:r w:rsidRPr="00BF2D69">
        <w:rPr>
          <w:rFonts w:ascii="Arial" w:eastAsia="Times New Roman" w:hAnsi="Arial" w:cs="Arial"/>
          <w:sz w:val="20"/>
          <w:szCs w:val="20"/>
        </w:rPr>
        <w:t>Alhakeem</w:t>
      </w:r>
      <w:proofErr w:type="spellEnd"/>
      <w:r w:rsidRPr="00BF2D69">
        <w:rPr>
          <w:rFonts w:ascii="Arial" w:eastAsia="Times New Roman" w:hAnsi="Arial" w:cs="Arial"/>
          <w:sz w:val="20"/>
          <w:szCs w:val="20"/>
        </w:rPr>
        <w:t xml:space="preserve">, M.D., </w:t>
      </w:r>
      <w:proofErr w:type="spellStart"/>
      <w:r w:rsidRPr="00BF2D69">
        <w:rPr>
          <w:rFonts w:ascii="Arial" w:eastAsia="Times New Roman" w:hAnsi="Arial" w:cs="Arial"/>
          <w:sz w:val="20"/>
          <w:szCs w:val="20"/>
        </w:rPr>
        <w:t>Jaffar</w:t>
      </w:r>
      <w:proofErr w:type="spellEnd"/>
      <w:r w:rsidRPr="00BF2D69">
        <w:rPr>
          <w:rFonts w:ascii="Arial" w:eastAsia="Times New Roman" w:hAnsi="Arial" w:cs="Arial"/>
          <w:sz w:val="20"/>
          <w:szCs w:val="20"/>
        </w:rPr>
        <w:t xml:space="preserve"> A. Al-</w:t>
      </w:r>
      <w:proofErr w:type="spellStart"/>
      <w:r w:rsidRPr="00BF2D69">
        <w:rPr>
          <w:rFonts w:ascii="Arial" w:eastAsia="Times New Roman" w:hAnsi="Arial" w:cs="Arial"/>
          <w:sz w:val="20"/>
          <w:szCs w:val="20"/>
        </w:rPr>
        <w:t>Tawfiq</w:t>
      </w:r>
      <w:proofErr w:type="spellEnd"/>
      <w:r w:rsidRPr="00BF2D69">
        <w:rPr>
          <w:rFonts w:ascii="Arial" w:eastAsia="Times New Roman" w:hAnsi="Arial" w:cs="Arial"/>
          <w:sz w:val="20"/>
          <w:szCs w:val="20"/>
        </w:rPr>
        <w:t xml:space="preserve">, M.D., Matthew </w:t>
      </w:r>
      <w:proofErr w:type="spellStart"/>
      <w:r w:rsidRPr="00BF2D69">
        <w:rPr>
          <w:rFonts w:ascii="Arial" w:eastAsia="Times New Roman" w:hAnsi="Arial" w:cs="Arial"/>
          <w:sz w:val="20"/>
          <w:szCs w:val="20"/>
        </w:rPr>
        <w:t>Cotten</w:t>
      </w:r>
      <w:proofErr w:type="spellEnd"/>
      <w:r w:rsidRPr="00BF2D69">
        <w:rPr>
          <w:rFonts w:ascii="Arial" w:eastAsia="Times New Roman" w:hAnsi="Arial" w:cs="Arial"/>
          <w:sz w:val="20"/>
          <w:szCs w:val="20"/>
        </w:rPr>
        <w:t xml:space="preserve">, Ph.D., Simon J. Watson, Ph.D., Paul </w:t>
      </w:r>
      <w:proofErr w:type="spellStart"/>
      <w:r w:rsidRPr="00BF2D69">
        <w:rPr>
          <w:rFonts w:ascii="Arial" w:eastAsia="Times New Roman" w:hAnsi="Arial" w:cs="Arial"/>
          <w:sz w:val="20"/>
          <w:szCs w:val="20"/>
        </w:rPr>
        <w:t>Kellam</w:t>
      </w:r>
      <w:proofErr w:type="spellEnd"/>
      <w:r w:rsidRPr="00BF2D69">
        <w:rPr>
          <w:rFonts w:ascii="Arial" w:eastAsia="Times New Roman" w:hAnsi="Arial" w:cs="Arial"/>
          <w:sz w:val="20"/>
          <w:szCs w:val="20"/>
        </w:rPr>
        <w:t xml:space="preserve">, Ph.D., </w:t>
      </w:r>
      <w:proofErr w:type="spellStart"/>
      <w:r w:rsidRPr="00BF2D69">
        <w:rPr>
          <w:rFonts w:ascii="Arial" w:eastAsia="Times New Roman" w:hAnsi="Arial" w:cs="Arial"/>
          <w:sz w:val="20"/>
          <w:szCs w:val="20"/>
        </w:rPr>
        <w:t>Alimuddin</w:t>
      </w:r>
      <w:proofErr w:type="spellEnd"/>
      <w:r w:rsidRPr="00BF2D69">
        <w:rPr>
          <w:rFonts w:ascii="Arial" w:eastAsia="Times New Roman" w:hAnsi="Arial" w:cs="Arial"/>
          <w:sz w:val="20"/>
          <w:szCs w:val="20"/>
        </w:rPr>
        <w:t xml:space="preserve"> I. </w:t>
      </w:r>
      <w:proofErr w:type="spellStart"/>
      <w:r w:rsidRPr="00BF2D69">
        <w:rPr>
          <w:rFonts w:ascii="Arial" w:eastAsia="Times New Roman" w:hAnsi="Arial" w:cs="Arial"/>
          <w:sz w:val="20"/>
          <w:szCs w:val="20"/>
        </w:rPr>
        <w:t>Zumla</w:t>
      </w:r>
      <w:proofErr w:type="spellEnd"/>
      <w:r w:rsidRPr="00BF2D69">
        <w:rPr>
          <w:rFonts w:ascii="Arial" w:eastAsia="Times New Roman" w:hAnsi="Arial" w:cs="Arial"/>
          <w:sz w:val="20"/>
          <w:szCs w:val="20"/>
        </w:rPr>
        <w:t xml:space="preserve">, M.D., and </w:t>
      </w:r>
      <w:proofErr w:type="spellStart"/>
      <w:r w:rsidRPr="00BF2D69">
        <w:rPr>
          <w:rFonts w:ascii="Arial" w:eastAsia="Times New Roman" w:hAnsi="Arial" w:cs="Arial"/>
          <w:sz w:val="20"/>
          <w:szCs w:val="20"/>
        </w:rPr>
        <w:t>Ziad</w:t>
      </w:r>
      <w:proofErr w:type="spellEnd"/>
      <w:r w:rsidRPr="00BF2D69">
        <w:rPr>
          <w:rFonts w:ascii="Arial" w:eastAsia="Times New Roman" w:hAnsi="Arial" w:cs="Arial"/>
          <w:sz w:val="20"/>
          <w:szCs w:val="20"/>
        </w:rPr>
        <w:t xml:space="preserve"> A. </w:t>
      </w:r>
      <w:proofErr w:type="spellStart"/>
      <w:r w:rsidRPr="00BF2D69">
        <w:rPr>
          <w:rFonts w:ascii="Arial" w:eastAsia="Times New Roman" w:hAnsi="Arial" w:cs="Arial"/>
          <w:sz w:val="20"/>
          <w:szCs w:val="20"/>
        </w:rPr>
        <w:t>Memish</w:t>
      </w:r>
      <w:proofErr w:type="spellEnd"/>
      <w:r w:rsidRPr="00BF2D69">
        <w:rPr>
          <w:rFonts w:ascii="Arial" w:eastAsia="Times New Roman" w:hAnsi="Arial" w:cs="Arial"/>
          <w:sz w:val="20"/>
          <w:szCs w:val="20"/>
        </w:rPr>
        <w:t xml:space="preserve">, M.D, </w:t>
      </w:r>
      <w:r>
        <w:rPr>
          <w:rFonts w:ascii="Arial" w:eastAsia="Times New Roman" w:hAnsi="Arial" w:cs="Arial"/>
          <w:sz w:val="20"/>
          <w:szCs w:val="20"/>
        </w:rPr>
        <w:t>“</w:t>
      </w:r>
      <w:r w:rsidRPr="00BF2D69">
        <w:rPr>
          <w:rFonts w:ascii="Arial" w:eastAsia="Times New Roman" w:hAnsi="Arial" w:cs="Arial"/>
          <w:bCs/>
          <w:kern w:val="36"/>
          <w:sz w:val="20"/>
          <w:szCs w:val="20"/>
        </w:rPr>
        <w:t>Hospital Outbreak of Middle East Respiratory Syndrome Coronavirus</w:t>
      </w:r>
      <w:r>
        <w:rPr>
          <w:rFonts w:ascii="Arial" w:eastAsia="Times New Roman" w:hAnsi="Arial" w:cs="Arial"/>
          <w:bCs/>
          <w:kern w:val="36"/>
          <w:sz w:val="20"/>
          <w:szCs w:val="20"/>
        </w:rPr>
        <w:t xml:space="preserve">”. </w:t>
      </w:r>
      <w:r w:rsidRPr="00BF2D69">
        <w:rPr>
          <w:rFonts w:ascii="Arial" w:eastAsia="Times New Roman" w:hAnsi="Arial" w:cs="Arial"/>
          <w:sz w:val="20"/>
          <w:szCs w:val="20"/>
        </w:rPr>
        <w:t>June 19, 2013DOI: 10.1056/NEJMoa1306742</w:t>
      </w:r>
      <w:r>
        <w:rPr>
          <w:rFonts w:ascii="Arial" w:eastAsia="Times New Roman" w:hAnsi="Arial" w:cs="Arial"/>
          <w:sz w:val="20"/>
          <w:szCs w:val="20"/>
        </w:rPr>
        <w:t xml:space="preserve"> </w:t>
      </w:r>
    </w:p>
  </w:footnote>
  <w:footnote w:id="38">
    <w:p w:rsidR="00B00749" w:rsidRDefault="00B00749" w:rsidP="00DB7DED">
      <w:pPr>
        <w:pStyle w:val="NormalWeb"/>
        <w:spacing w:before="0" w:beforeAutospacing="0" w:after="0" w:afterAutospacing="0"/>
      </w:pPr>
      <w:r>
        <w:rPr>
          <w:rStyle w:val="FootnoteReference"/>
        </w:rPr>
        <w:footnoteRef/>
      </w:r>
      <w:r>
        <w:t xml:space="preserve"> </w:t>
      </w:r>
      <w:hyperlink r:id="rId18" w:history="1">
        <w:r w:rsidRPr="0015121F">
          <w:rPr>
            <w:rStyle w:val="Hyperlink"/>
            <w:rFonts w:ascii="Arial" w:hAnsi="Arial" w:cs="Arial"/>
            <w:iCs/>
            <w:color w:val="auto"/>
            <w:sz w:val="20"/>
            <w:szCs w:val="20"/>
          </w:rPr>
          <w:t xml:space="preserve">MA </w:t>
        </w:r>
        <w:proofErr w:type="spellStart"/>
        <w:r w:rsidRPr="0015121F">
          <w:rPr>
            <w:rStyle w:val="Hyperlink"/>
            <w:rFonts w:ascii="Arial" w:hAnsi="Arial" w:cs="Arial"/>
            <w:iCs/>
            <w:color w:val="auto"/>
            <w:sz w:val="20"/>
            <w:szCs w:val="20"/>
          </w:rPr>
          <w:t>Fearon</w:t>
        </w:r>
        <w:proofErr w:type="spellEnd"/>
        <w:r w:rsidRPr="0015121F">
          <w:rPr>
            <w:rStyle w:val="Hyperlink"/>
            <w:rFonts w:ascii="Arial" w:hAnsi="Arial" w:cs="Arial"/>
            <w:iCs/>
            <w:color w:val="auto"/>
            <w:sz w:val="20"/>
            <w:szCs w:val="20"/>
          </w:rPr>
          <w:t>,</w:t>
        </w:r>
        <w:r w:rsidRPr="0015121F">
          <w:rPr>
            <w:rStyle w:val="Hyperlink"/>
            <w:rFonts w:ascii="Arial" w:hAnsi="Arial" w:cs="Arial"/>
            <w:iCs/>
            <w:color w:val="auto"/>
            <w:sz w:val="20"/>
            <w:szCs w:val="20"/>
            <w:u w:val="none"/>
          </w:rPr>
          <w:t xml:space="preserve"> </w:t>
        </w:r>
      </w:hyperlink>
      <w:hyperlink r:id="rId19" w:history="1">
        <w:r w:rsidRPr="0015121F">
          <w:rPr>
            <w:rStyle w:val="Hyperlink"/>
            <w:rFonts w:ascii="Arial" w:hAnsi="Arial" w:cs="Arial"/>
            <w:iCs/>
            <w:color w:val="auto"/>
            <w:sz w:val="20"/>
            <w:szCs w:val="20"/>
            <w:u w:val="none"/>
          </w:rPr>
          <w:t>V Scalia</w:t>
        </w:r>
        <w:r w:rsidRPr="0015121F">
          <w:rPr>
            <w:rStyle w:val="Hyperlink"/>
            <w:rFonts w:ascii="Arial" w:hAnsi="Arial" w:cs="Arial"/>
            <w:iCs/>
            <w:color w:val="auto"/>
            <w:sz w:val="20"/>
            <w:szCs w:val="20"/>
          </w:rPr>
          <w:t>,</w:t>
        </w:r>
        <w:r w:rsidRPr="0015121F">
          <w:rPr>
            <w:rStyle w:val="Hyperlink"/>
            <w:rFonts w:ascii="Arial" w:hAnsi="Arial" w:cs="Arial"/>
            <w:iCs/>
            <w:color w:val="auto"/>
            <w:sz w:val="20"/>
            <w:szCs w:val="20"/>
            <w:u w:val="none"/>
          </w:rPr>
          <w:t xml:space="preserve"> </w:t>
        </w:r>
      </w:hyperlink>
      <w:hyperlink r:id="rId20" w:history="1">
        <w:r w:rsidRPr="0015121F">
          <w:rPr>
            <w:rStyle w:val="Hyperlink"/>
            <w:rFonts w:ascii="Arial" w:hAnsi="Arial" w:cs="Arial"/>
            <w:iCs/>
            <w:color w:val="auto"/>
            <w:sz w:val="20"/>
            <w:szCs w:val="20"/>
            <w:u w:val="none"/>
          </w:rPr>
          <w:t>M Huang</w:t>
        </w:r>
        <w:r w:rsidRPr="0015121F">
          <w:rPr>
            <w:rStyle w:val="Hyperlink"/>
            <w:rFonts w:ascii="Arial" w:hAnsi="Arial" w:cs="Arial"/>
            <w:iCs/>
            <w:color w:val="auto"/>
            <w:sz w:val="20"/>
            <w:szCs w:val="20"/>
          </w:rPr>
          <w:t>,</w:t>
        </w:r>
        <w:r w:rsidRPr="0015121F">
          <w:rPr>
            <w:rStyle w:val="Hyperlink"/>
            <w:rFonts w:ascii="Arial" w:hAnsi="Arial" w:cs="Arial"/>
            <w:iCs/>
            <w:color w:val="auto"/>
            <w:sz w:val="20"/>
            <w:szCs w:val="20"/>
            <w:u w:val="none"/>
          </w:rPr>
          <w:t xml:space="preserve"> </w:t>
        </w:r>
      </w:hyperlink>
      <w:hyperlink r:id="rId21" w:history="1">
        <w:r w:rsidRPr="0015121F">
          <w:rPr>
            <w:rStyle w:val="Hyperlink"/>
            <w:rFonts w:ascii="Arial" w:hAnsi="Arial" w:cs="Arial"/>
            <w:iCs/>
            <w:color w:val="auto"/>
            <w:sz w:val="20"/>
            <w:szCs w:val="20"/>
            <w:u w:val="none"/>
          </w:rPr>
          <w:t>I Dines</w:t>
        </w:r>
        <w:r w:rsidRPr="0015121F">
          <w:rPr>
            <w:rStyle w:val="Hyperlink"/>
            <w:rFonts w:ascii="Arial" w:hAnsi="Arial" w:cs="Arial"/>
            <w:iCs/>
            <w:color w:val="auto"/>
            <w:sz w:val="20"/>
            <w:szCs w:val="20"/>
          </w:rPr>
          <w:t>,</w:t>
        </w:r>
        <w:r w:rsidRPr="0015121F">
          <w:rPr>
            <w:rStyle w:val="Hyperlink"/>
            <w:rFonts w:ascii="Arial" w:hAnsi="Arial" w:cs="Arial"/>
            <w:iCs/>
            <w:color w:val="auto"/>
            <w:sz w:val="20"/>
            <w:szCs w:val="20"/>
            <w:u w:val="none"/>
          </w:rPr>
          <w:t xml:space="preserve"> </w:t>
        </w:r>
      </w:hyperlink>
      <w:hyperlink r:id="rId22" w:history="1">
        <w:r w:rsidRPr="0015121F">
          <w:rPr>
            <w:rStyle w:val="Hyperlink"/>
            <w:rFonts w:ascii="Arial" w:hAnsi="Arial" w:cs="Arial"/>
            <w:iCs/>
            <w:color w:val="auto"/>
            <w:sz w:val="20"/>
            <w:szCs w:val="20"/>
            <w:u w:val="none"/>
          </w:rPr>
          <w:t xml:space="preserve">M </w:t>
        </w:r>
        <w:proofErr w:type="spellStart"/>
        <w:r w:rsidRPr="0015121F">
          <w:rPr>
            <w:rStyle w:val="Hyperlink"/>
            <w:rFonts w:ascii="Arial" w:hAnsi="Arial" w:cs="Arial"/>
            <w:iCs/>
            <w:color w:val="auto"/>
            <w:sz w:val="20"/>
            <w:szCs w:val="20"/>
            <w:u w:val="none"/>
          </w:rPr>
          <w:t>Ndao</w:t>
        </w:r>
        <w:proofErr w:type="spellEnd"/>
        <w:r w:rsidRPr="0015121F">
          <w:rPr>
            <w:rStyle w:val="Hyperlink"/>
            <w:rFonts w:ascii="Arial" w:hAnsi="Arial" w:cs="Arial"/>
            <w:iCs/>
            <w:color w:val="auto"/>
            <w:sz w:val="20"/>
            <w:szCs w:val="20"/>
          </w:rPr>
          <w:t>,</w:t>
        </w:r>
        <w:r w:rsidRPr="0015121F">
          <w:rPr>
            <w:rStyle w:val="Hyperlink"/>
            <w:rFonts w:ascii="Arial" w:hAnsi="Arial" w:cs="Arial"/>
            <w:iCs/>
            <w:color w:val="auto"/>
            <w:sz w:val="20"/>
            <w:szCs w:val="20"/>
            <w:u w:val="none"/>
          </w:rPr>
          <w:t xml:space="preserve"> </w:t>
        </w:r>
      </w:hyperlink>
      <w:hyperlink r:id="rId23" w:history="1">
        <w:r w:rsidRPr="0015121F">
          <w:rPr>
            <w:rStyle w:val="Hyperlink"/>
            <w:rFonts w:ascii="Arial" w:hAnsi="Arial" w:cs="Arial"/>
            <w:iCs/>
            <w:color w:val="auto"/>
            <w:sz w:val="20"/>
            <w:szCs w:val="20"/>
            <w:u w:val="none"/>
          </w:rPr>
          <w:t xml:space="preserve">P </w:t>
        </w:r>
        <w:proofErr w:type="spellStart"/>
        <w:r w:rsidRPr="0015121F">
          <w:rPr>
            <w:rStyle w:val="Hyperlink"/>
            <w:rFonts w:ascii="Arial" w:hAnsi="Arial" w:cs="Arial"/>
            <w:iCs/>
            <w:color w:val="auto"/>
            <w:sz w:val="20"/>
            <w:szCs w:val="20"/>
            <w:u w:val="none"/>
          </w:rPr>
          <w:t>Lagacé-Wiens</w:t>
        </w:r>
        <w:proofErr w:type="spellEnd"/>
      </w:hyperlink>
      <w:r>
        <w:rPr>
          <w:rStyle w:val="Hyperlink"/>
          <w:rFonts w:ascii="Arial" w:hAnsi="Arial" w:cs="Arial"/>
          <w:iCs/>
          <w:color w:val="auto"/>
          <w:sz w:val="20"/>
          <w:szCs w:val="20"/>
          <w:u w:val="none"/>
        </w:rPr>
        <w:t>,</w:t>
      </w:r>
      <w:r w:rsidRPr="0015121F">
        <w:rPr>
          <w:rFonts w:ascii="Arial" w:hAnsi="Arial" w:cs="Arial"/>
          <w:bCs/>
          <w:sz w:val="20"/>
          <w:szCs w:val="20"/>
        </w:rPr>
        <w:t xml:space="preserve"> </w:t>
      </w:r>
      <w:r w:rsidRPr="005913B0">
        <w:rPr>
          <w:rFonts w:ascii="Arial" w:hAnsi="Arial" w:cs="Arial"/>
          <w:bCs/>
          <w:sz w:val="20"/>
          <w:szCs w:val="20"/>
        </w:rPr>
        <w:t xml:space="preserve">“A case of vertical transmission of </w:t>
      </w:r>
      <w:proofErr w:type="spellStart"/>
      <w:r w:rsidRPr="005913B0">
        <w:rPr>
          <w:rFonts w:ascii="Arial" w:hAnsi="Arial" w:cs="Arial"/>
          <w:bCs/>
          <w:sz w:val="20"/>
          <w:szCs w:val="20"/>
        </w:rPr>
        <w:t>Chagas</w:t>
      </w:r>
      <w:proofErr w:type="spellEnd"/>
      <w:r w:rsidRPr="005913B0">
        <w:rPr>
          <w:rFonts w:ascii="Arial" w:hAnsi="Arial" w:cs="Arial"/>
          <w:bCs/>
          <w:sz w:val="20"/>
          <w:szCs w:val="20"/>
        </w:rPr>
        <w:t xml:space="preserve"> disease contracted via blood transfusion in Canada”</w:t>
      </w:r>
      <w:r>
        <w:rPr>
          <w:rFonts w:ascii="Arial" w:hAnsi="Arial" w:cs="Arial"/>
          <w:bCs/>
          <w:sz w:val="20"/>
          <w:szCs w:val="20"/>
        </w:rPr>
        <w:t xml:space="preserve">, </w:t>
      </w:r>
      <w:r w:rsidRPr="0015121F">
        <w:rPr>
          <w:rFonts w:ascii="Arial" w:hAnsi="Arial" w:cs="Arial"/>
          <w:bCs/>
          <w:i/>
          <w:sz w:val="20"/>
          <w:szCs w:val="20"/>
        </w:rPr>
        <w:t>Canadian Journal of Infectious Diseases and Microbiology,</w:t>
      </w:r>
      <w:r w:rsidRPr="0015121F">
        <w:rPr>
          <w:rFonts w:ascii="Arial" w:hAnsi="Arial" w:cs="Arial"/>
          <w:sz w:val="20"/>
          <w:szCs w:val="20"/>
        </w:rPr>
        <w:t xml:space="preserve"> </w:t>
      </w:r>
      <w:r w:rsidRPr="005913B0">
        <w:rPr>
          <w:rFonts w:ascii="Arial" w:hAnsi="Arial" w:cs="Arial"/>
          <w:sz w:val="20"/>
          <w:szCs w:val="20"/>
        </w:rPr>
        <w:t>Spring 2013, Volume 24 Issue 1: 32- 34</w:t>
      </w:r>
      <w:r>
        <w:rPr>
          <w:rFonts w:ascii="Arial" w:hAnsi="Arial" w:cs="Arial"/>
          <w:sz w:val="20"/>
          <w:szCs w:val="20"/>
        </w:rPr>
        <w:t>.</w:t>
      </w:r>
    </w:p>
  </w:footnote>
  <w:footnote w:id="39">
    <w:p w:rsidR="00A06EDB" w:rsidRPr="00AE27B6" w:rsidRDefault="00A06EDB">
      <w:pPr>
        <w:pStyle w:val="FootnoteText"/>
        <w:rPr>
          <w:rFonts w:ascii="Arial" w:hAnsi="Arial" w:cs="Arial"/>
        </w:rPr>
      </w:pPr>
      <w:r w:rsidRPr="00AE27B6">
        <w:rPr>
          <w:rStyle w:val="FootnoteReference"/>
          <w:rFonts w:ascii="Arial" w:hAnsi="Arial" w:cs="Arial"/>
        </w:rPr>
        <w:footnoteRef/>
      </w:r>
      <w:r w:rsidRPr="00AE27B6">
        <w:rPr>
          <w:rFonts w:ascii="Arial" w:hAnsi="Arial" w:cs="Arial"/>
        </w:rPr>
        <w:t xml:space="preserve"> </w:t>
      </w:r>
      <w:r w:rsidR="00AE27B6">
        <w:rPr>
          <w:rFonts w:ascii="Arial" w:hAnsi="Arial" w:cs="Arial"/>
        </w:rPr>
        <w:t xml:space="preserve">Their paper appeared online in June ahead of print in the </w:t>
      </w:r>
      <w:r w:rsidR="00AE27B6" w:rsidRPr="00AE27B6">
        <w:rPr>
          <w:rFonts w:ascii="Arial" w:hAnsi="Arial" w:cs="Arial"/>
          <w:i/>
        </w:rPr>
        <w:t>Proceedings of the National Academy of Sciences</w:t>
      </w:r>
      <w:r w:rsidR="00AE27B6">
        <w:rPr>
          <w:rFonts w:ascii="Arial" w:hAnsi="Arial" w:cs="Arial"/>
        </w:rPr>
        <w:t xml:space="preserve">.  Senior authors of the study were Peter G. Schulz and William </w:t>
      </w:r>
      <w:proofErr w:type="spellStart"/>
      <w:r w:rsidR="00AE27B6">
        <w:rPr>
          <w:rFonts w:ascii="Arial" w:hAnsi="Arial" w:cs="Arial"/>
        </w:rPr>
        <w:t>R.Jacobs</w:t>
      </w:r>
      <w:proofErr w:type="gramStart"/>
      <w:r w:rsidR="00AE27B6">
        <w:rPr>
          <w:rFonts w:ascii="Arial" w:hAnsi="Arial" w:cs="Arial"/>
        </w:rPr>
        <w:t>,Jr</w:t>
      </w:r>
      <w:proofErr w:type="spellEnd"/>
      <w:proofErr w:type="gramEnd"/>
      <w:r w:rsidR="00AE27B6">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548"/>
    <w:multiLevelType w:val="multilevel"/>
    <w:tmpl w:val="25300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657079"/>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DF0EC8"/>
    <w:multiLevelType w:val="multilevel"/>
    <w:tmpl w:val="079C3636"/>
    <w:lvl w:ilvl="0">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11C97762"/>
    <w:multiLevelType w:val="multilevel"/>
    <w:tmpl w:val="E0DAC3D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8274D3F"/>
    <w:multiLevelType w:val="hybridMultilevel"/>
    <w:tmpl w:val="43905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1D0C55"/>
    <w:multiLevelType w:val="multilevel"/>
    <w:tmpl w:val="C434AA16"/>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F71A8B"/>
    <w:multiLevelType w:val="multilevel"/>
    <w:tmpl w:val="BD32DA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1E3446"/>
    <w:multiLevelType w:val="multilevel"/>
    <w:tmpl w:val="C1B258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16146F"/>
    <w:multiLevelType w:val="multilevel"/>
    <w:tmpl w:val="2C704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017B13"/>
    <w:multiLevelType w:val="multilevel"/>
    <w:tmpl w:val="DC3EB2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524C3B"/>
    <w:multiLevelType w:val="hybridMultilevel"/>
    <w:tmpl w:val="E042C670"/>
    <w:lvl w:ilvl="0" w:tplc="4D8C67F8">
      <w:start w:val="1"/>
      <w:numFmt w:val="decimal"/>
      <w:lvlText w:val="%1."/>
      <w:lvlJc w:val="left"/>
      <w:pPr>
        <w:ind w:left="720" w:hanging="360"/>
      </w:pPr>
      <w:rPr>
        <w:b/>
        <w:color w:val="FF000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087DA7"/>
    <w:multiLevelType w:val="multilevel"/>
    <w:tmpl w:val="915E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9DB00E5"/>
    <w:multiLevelType w:val="multilevel"/>
    <w:tmpl w:val="E0DAC3D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D55366"/>
    <w:multiLevelType w:val="multilevel"/>
    <w:tmpl w:val="866A2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F809FA"/>
    <w:multiLevelType w:val="hybridMultilevel"/>
    <w:tmpl w:val="E9AC113C"/>
    <w:lvl w:ilvl="0" w:tplc="A1F00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F56B1A"/>
    <w:multiLevelType w:val="multilevel"/>
    <w:tmpl w:val="2BDE4304"/>
    <w:lvl w:ilvl="0">
      <w:start w:val="4"/>
      <w:numFmt w:val="decimal"/>
      <w:lvlText w:val="%1."/>
      <w:lvlJc w:val="left"/>
      <w:pPr>
        <w:tabs>
          <w:tab w:val="num" w:pos="360"/>
        </w:tabs>
        <w:ind w:left="360" w:hanging="360"/>
      </w:pPr>
      <w:rPr>
        <w:rFonts w:hint="default"/>
        <w:b/>
        <w:color w:val="FF0000"/>
        <w:sz w:val="28"/>
        <w:szCs w:val="28"/>
      </w:rPr>
    </w:lvl>
    <w:lvl w:ilvl="1">
      <w:start w:val="1"/>
      <w:numFmt w:val="lowerLetter"/>
      <w:lvlText w:val="%2."/>
      <w:lvlJc w:val="left"/>
      <w:pPr>
        <w:tabs>
          <w:tab w:val="num" w:pos="1080"/>
        </w:tabs>
        <w:ind w:left="1080" w:hanging="360"/>
      </w:pPr>
      <w:rPr>
        <w:rFonts w:ascii="Arial" w:hAnsi="Arial" w:cs="Arial" w:hint="default"/>
        <w:b w:val="0"/>
        <w:i w:val="0"/>
        <w:color w:val="auto"/>
        <w:sz w:val="22"/>
        <w:szCs w:val="20"/>
      </w:rPr>
    </w:lvl>
    <w:lvl w:ilvl="2">
      <w:start w:val="1"/>
      <w:numFmt w:val="bullet"/>
      <w:lvlText w:val=""/>
      <w:lvlJc w:val="left"/>
      <w:pPr>
        <w:tabs>
          <w:tab w:val="num" w:pos="1080"/>
        </w:tabs>
        <w:ind w:left="1080" w:hanging="360"/>
      </w:pPr>
      <w:rPr>
        <w:rFonts w:ascii="Symbol" w:hAnsi="Symbol" w:hint="default"/>
        <w:sz w:val="20"/>
        <w:szCs w:val="2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482225F"/>
    <w:multiLevelType w:val="multilevel"/>
    <w:tmpl w:val="5ACC9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D50613A"/>
    <w:multiLevelType w:val="hybridMultilevel"/>
    <w:tmpl w:val="546C20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E0B6ADB"/>
    <w:multiLevelType w:val="multilevel"/>
    <w:tmpl w:val="C84EC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7825BB"/>
    <w:multiLevelType w:val="multilevel"/>
    <w:tmpl w:val="87D2E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C21382"/>
    <w:multiLevelType w:val="hybridMultilevel"/>
    <w:tmpl w:val="0D0009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4654BB"/>
    <w:multiLevelType w:val="multilevel"/>
    <w:tmpl w:val="0116FB04"/>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1F76ACC"/>
    <w:multiLevelType w:val="hybridMultilevel"/>
    <w:tmpl w:val="E48EB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7932895"/>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B5D7BF3"/>
    <w:multiLevelType w:val="multilevel"/>
    <w:tmpl w:val="9EFEFF1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1D40561"/>
    <w:multiLevelType w:val="multilevel"/>
    <w:tmpl w:val="F78428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2A426D6"/>
    <w:multiLevelType w:val="multilevel"/>
    <w:tmpl w:val="94C84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46740AC"/>
    <w:multiLevelType w:val="hybridMultilevel"/>
    <w:tmpl w:val="EA18292C"/>
    <w:lvl w:ilvl="0" w:tplc="C68EC374">
      <w:start w:val="3"/>
      <w:numFmt w:val="lowerLetter"/>
      <w:lvlText w:val="%1)"/>
      <w:lvlJc w:val="left"/>
      <w:pPr>
        <w:ind w:left="780" w:hanging="360"/>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5446BD2"/>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492A79"/>
    <w:multiLevelType w:val="multilevel"/>
    <w:tmpl w:val="42E83E84"/>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75E66D2"/>
    <w:multiLevelType w:val="multilevel"/>
    <w:tmpl w:val="BA3C4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E109F2"/>
    <w:multiLevelType w:val="hybridMultilevel"/>
    <w:tmpl w:val="993C190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3">
    <w:nsid w:val="5FE3623B"/>
    <w:multiLevelType w:val="multilevel"/>
    <w:tmpl w:val="C434AA16"/>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6CA265A"/>
    <w:multiLevelType w:val="multilevel"/>
    <w:tmpl w:val="FC304D8E"/>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6E36F2F"/>
    <w:multiLevelType w:val="multilevel"/>
    <w:tmpl w:val="BDA4BE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74E6E7B"/>
    <w:multiLevelType w:val="multilevel"/>
    <w:tmpl w:val="C2CA3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8A01A78"/>
    <w:multiLevelType w:val="hybridMultilevel"/>
    <w:tmpl w:val="E990DB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7E1CA5"/>
    <w:multiLevelType w:val="multilevel"/>
    <w:tmpl w:val="1CCAD41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EBD7FC4"/>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1"/>
  </w:num>
  <w:num w:numId="3">
    <w:abstractNumId w:val="26"/>
  </w:num>
  <w:num w:numId="4">
    <w:abstractNumId w:val="21"/>
  </w:num>
  <w:num w:numId="5">
    <w:abstractNumId w:val="1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3"/>
  </w:num>
  <w:num w:numId="10">
    <w:abstractNumId w:val="0"/>
  </w:num>
  <w:num w:numId="11">
    <w:abstractNumId w:val="27"/>
  </w:num>
  <w:num w:numId="12">
    <w:abstractNumId w:val="25"/>
  </w:num>
  <w:num w:numId="13">
    <w:abstractNumId w:val="20"/>
  </w:num>
  <w:num w:numId="14">
    <w:abstractNumId w:val="36"/>
  </w:num>
  <w:num w:numId="15">
    <w:abstractNumId w:val="8"/>
  </w:num>
  <w:num w:numId="16">
    <w:abstractNumId w:val="1"/>
  </w:num>
  <w:num w:numId="17">
    <w:abstractNumId w:val="29"/>
  </w:num>
  <w:num w:numId="18">
    <w:abstractNumId w:val="15"/>
  </w:num>
  <w:num w:numId="19">
    <w:abstractNumId w:val="28"/>
  </w:num>
  <w:num w:numId="20">
    <w:abstractNumId w:val="19"/>
  </w:num>
  <w:num w:numId="21">
    <w:abstractNumId w:val="37"/>
  </w:num>
  <w:num w:numId="22">
    <w:abstractNumId w:val="10"/>
  </w:num>
  <w:num w:numId="23">
    <w:abstractNumId w:val="38"/>
  </w:num>
  <w:num w:numId="24">
    <w:abstractNumId w:val="22"/>
  </w:num>
  <w:num w:numId="25">
    <w:abstractNumId w:val="12"/>
  </w:num>
  <w:num w:numId="26">
    <w:abstractNumId w:val="39"/>
  </w:num>
  <w:num w:numId="27">
    <w:abstractNumId w:val="14"/>
  </w:num>
  <w:num w:numId="28">
    <w:abstractNumId w:val="2"/>
  </w:num>
  <w:num w:numId="29">
    <w:abstractNumId w:val="30"/>
  </w:num>
  <w:num w:numId="30">
    <w:abstractNumId w:val="31"/>
  </w:num>
  <w:num w:numId="31">
    <w:abstractNumId w:val="32"/>
  </w:num>
  <w:num w:numId="32">
    <w:abstractNumId w:val="24"/>
  </w:num>
  <w:num w:numId="33">
    <w:abstractNumId w:val="7"/>
  </w:num>
  <w:num w:numId="34">
    <w:abstractNumId w:val="17"/>
  </w:num>
  <w:num w:numId="35">
    <w:abstractNumId w:val="13"/>
  </w:num>
  <w:num w:numId="36">
    <w:abstractNumId w:val="34"/>
  </w:num>
  <w:num w:numId="37">
    <w:abstractNumId w:val="6"/>
  </w:num>
  <w:num w:numId="38">
    <w:abstractNumId w:val="33"/>
  </w:num>
  <w:num w:numId="39">
    <w:abstractNumId w:val="35"/>
  </w:num>
  <w:num w:numId="40">
    <w:abstractNumId w:val="1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5F07"/>
    <w:rsid w:val="000128E1"/>
    <w:rsid w:val="000143C5"/>
    <w:rsid w:val="000236D0"/>
    <w:rsid w:val="0002531E"/>
    <w:rsid w:val="00031417"/>
    <w:rsid w:val="00032145"/>
    <w:rsid w:val="00035948"/>
    <w:rsid w:val="000405AD"/>
    <w:rsid w:val="00041C36"/>
    <w:rsid w:val="000439A0"/>
    <w:rsid w:val="0005682D"/>
    <w:rsid w:val="000727E0"/>
    <w:rsid w:val="0009272E"/>
    <w:rsid w:val="00096C54"/>
    <w:rsid w:val="000A0558"/>
    <w:rsid w:val="000B0252"/>
    <w:rsid w:val="000B4544"/>
    <w:rsid w:val="000C7C8D"/>
    <w:rsid w:val="000D66AC"/>
    <w:rsid w:val="000D6904"/>
    <w:rsid w:val="000D70FF"/>
    <w:rsid w:val="000D7F41"/>
    <w:rsid w:val="000E0CE9"/>
    <w:rsid w:val="000F3CB9"/>
    <w:rsid w:val="0010368F"/>
    <w:rsid w:val="001073A7"/>
    <w:rsid w:val="00113F3A"/>
    <w:rsid w:val="0011435F"/>
    <w:rsid w:val="0012223A"/>
    <w:rsid w:val="001367E0"/>
    <w:rsid w:val="00141FC4"/>
    <w:rsid w:val="00144459"/>
    <w:rsid w:val="00145592"/>
    <w:rsid w:val="001505BB"/>
    <w:rsid w:val="0015121F"/>
    <w:rsid w:val="00170B28"/>
    <w:rsid w:val="00172648"/>
    <w:rsid w:val="0017576A"/>
    <w:rsid w:val="001872D2"/>
    <w:rsid w:val="00190816"/>
    <w:rsid w:val="0019151B"/>
    <w:rsid w:val="0019667E"/>
    <w:rsid w:val="00197FA0"/>
    <w:rsid w:val="001A20BD"/>
    <w:rsid w:val="001A2F04"/>
    <w:rsid w:val="001B3309"/>
    <w:rsid w:val="001C2106"/>
    <w:rsid w:val="001D118E"/>
    <w:rsid w:val="001D4BEC"/>
    <w:rsid w:val="001E2C64"/>
    <w:rsid w:val="001E52D7"/>
    <w:rsid w:val="001F0B9C"/>
    <w:rsid w:val="001F3787"/>
    <w:rsid w:val="001F430A"/>
    <w:rsid w:val="00202819"/>
    <w:rsid w:val="0021136C"/>
    <w:rsid w:val="0022403C"/>
    <w:rsid w:val="00263826"/>
    <w:rsid w:val="00266C17"/>
    <w:rsid w:val="0029237F"/>
    <w:rsid w:val="002928E2"/>
    <w:rsid w:val="00293419"/>
    <w:rsid w:val="00293EC4"/>
    <w:rsid w:val="002B3DFE"/>
    <w:rsid w:val="002B6CE7"/>
    <w:rsid w:val="002D4796"/>
    <w:rsid w:val="002E0F45"/>
    <w:rsid w:val="002E1ADA"/>
    <w:rsid w:val="002E4A9D"/>
    <w:rsid w:val="002E7150"/>
    <w:rsid w:val="002F0F9D"/>
    <w:rsid w:val="003019D8"/>
    <w:rsid w:val="003038DE"/>
    <w:rsid w:val="003047AD"/>
    <w:rsid w:val="00307385"/>
    <w:rsid w:val="00312A0B"/>
    <w:rsid w:val="0031533F"/>
    <w:rsid w:val="00327922"/>
    <w:rsid w:val="00336982"/>
    <w:rsid w:val="003443EE"/>
    <w:rsid w:val="00347DAD"/>
    <w:rsid w:val="003641E5"/>
    <w:rsid w:val="00364574"/>
    <w:rsid w:val="003763F5"/>
    <w:rsid w:val="0038522F"/>
    <w:rsid w:val="003A2B46"/>
    <w:rsid w:val="003B277C"/>
    <w:rsid w:val="003C1E86"/>
    <w:rsid w:val="003D754B"/>
    <w:rsid w:val="003E3A0A"/>
    <w:rsid w:val="003E6D4F"/>
    <w:rsid w:val="0040269A"/>
    <w:rsid w:val="00402ED4"/>
    <w:rsid w:val="0040699F"/>
    <w:rsid w:val="00411C7C"/>
    <w:rsid w:val="00413F04"/>
    <w:rsid w:val="004145C1"/>
    <w:rsid w:val="00425F21"/>
    <w:rsid w:val="0042718E"/>
    <w:rsid w:val="00430372"/>
    <w:rsid w:val="00432206"/>
    <w:rsid w:val="00434486"/>
    <w:rsid w:val="0044518E"/>
    <w:rsid w:val="00445230"/>
    <w:rsid w:val="00446464"/>
    <w:rsid w:val="00452BC5"/>
    <w:rsid w:val="00457D3E"/>
    <w:rsid w:val="00457F38"/>
    <w:rsid w:val="00461A9E"/>
    <w:rsid w:val="00461F6F"/>
    <w:rsid w:val="00493BEF"/>
    <w:rsid w:val="004B1973"/>
    <w:rsid w:val="004C0163"/>
    <w:rsid w:val="004C4710"/>
    <w:rsid w:val="004C5FCC"/>
    <w:rsid w:val="004D0377"/>
    <w:rsid w:val="004D7494"/>
    <w:rsid w:val="004E3A51"/>
    <w:rsid w:val="004F6D86"/>
    <w:rsid w:val="005071F5"/>
    <w:rsid w:val="00511961"/>
    <w:rsid w:val="00524BDD"/>
    <w:rsid w:val="00542271"/>
    <w:rsid w:val="0054269D"/>
    <w:rsid w:val="00544549"/>
    <w:rsid w:val="0055355B"/>
    <w:rsid w:val="0057147C"/>
    <w:rsid w:val="00586088"/>
    <w:rsid w:val="0058699C"/>
    <w:rsid w:val="00591F4C"/>
    <w:rsid w:val="005A37AD"/>
    <w:rsid w:val="005A5525"/>
    <w:rsid w:val="005B2070"/>
    <w:rsid w:val="005B3DC1"/>
    <w:rsid w:val="005C4683"/>
    <w:rsid w:val="005C50B6"/>
    <w:rsid w:val="005D269B"/>
    <w:rsid w:val="005D5DA5"/>
    <w:rsid w:val="005E4BDF"/>
    <w:rsid w:val="005F1B47"/>
    <w:rsid w:val="005F6F08"/>
    <w:rsid w:val="00601D4E"/>
    <w:rsid w:val="00603DE3"/>
    <w:rsid w:val="006175F4"/>
    <w:rsid w:val="00625769"/>
    <w:rsid w:val="006314C9"/>
    <w:rsid w:val="00642790"/>
    <w:rsid w:val="00656817"/>
    <w:rsid w:val="00670140"/>
    <w:rsid w:val="00674C35"/>
    <w:rsid w:val="006922BA"/>
    <w:rsid w:val="006A01BA"/>
    <w:rsid w:val="006A3E15"/>
    <w:rsid w:val="006A57AB"/>
    <w:rsid w:val="006B11CF"/>
    <w:rsid w:val="006B401F"/>
    <w:rsid w:val="006B4128"/>
    <w:rsid w:val="006C7CE7"/>
    <w:rsid w:val="006D0365"/>
    <w:rsid w:val="006E495D"/>
    <w:rsid w:val="006F4993"/>
    <w:rsid w:val="00702FDC"/>
    <w:rsid w:val="00704488"/>
    <w:rsid w:val="007076BC"/>
    <w:rsid w:val="00714CF4"/>
    <w:rsid w:val="00717407"/>
    <w:rsid w:val="00723D69"/>
    <w:rsid w:val="00731691"/>
    <w:rsid w:val="00733B1A"/>
    <w:rsid w:val="00741FBB"/>
    <w:rsid w:val="00751C35"/>
    <w:rsid w:val="007713B2"/>
    <w:rsid w:val="00774B25"/>
    <w:rsid w:val="007779F5"/>
    <w:rsid w:val="007807E5"/>
    <w:rsid w:val="00781EC5"/>
    <w:rsid w:val="007945C5"/>
    <w:rsid w:val="00795A3B"/>
    <w:rsid w:val="007B62CA"/>
    <w:rsid w:val="007C577F"/>
    <w:rsid w:val="007C6F24"/>
    <w:rsid w:val="007C72ED"/>
    <w:rsid w:val="007E3D7A"/>
    <w:rsid w:val="007E5975"/>
    <w:rsid w:val="007E6444"/>
    <w:rsid w:val="007F0517"/>
    <w:rsid w:val="007F6431"/>
    <w:rsid w:val="00800E6B"/>
    <w:rsid w:val="00803DB4"/>
    <w:rsid w:val="008057A0"/>
    <w:rsid w:val="00820C95"/>
    <w:rsid w:val="008272AD"/>
    <w:rsid w:val="00831C6D"/>
    <w:rsid w:val="00832D11"/>
    <w:rsid w:val="008331DF"/>
    <w:rsid w:val="00837332"/>
    <w:rsid w:val="008462AC"/>
    <w:rsid w:val="00850010"/>
    <w:rsid w:val="0085054E"/>
    <w:rsid w:val="008528C7"/>
    <w:rsid w:val="0085397E"/>
    <w:rsid w:val="00860AD3"/>
    <w:rsid w:val="0086241E"/>
    <w:rsid w:val="00865A1D"/>
    <w:rsid w:val="00871B1D"/>
    <w:rsid w:val="00874204"/>
    <w:rsid w:val="00875CE0"/>
    <w:rsid w:val="00876751"/>
    <w:rsid w:val="0089788F"/>
    <w:rsid w:val="008A05AE"/>
    <w:rsid w:val="008A12AF"/>
    <w:rsid w:val="008B55AF"/>
    <w:rsid w:val="008C11EE"/>
    <w:rsid w:val="008D78A4"/>
    <w:rsid w:val="008E3E50"/>
    <w:rsid w:val="008E50EC"/>
    <w:rsid w:val="008E6DEA"/>
    <w:rsid w:val="008F0E6F"/>
    <w:rsid w:val="008F20E6"/>
    <w:rsid w:val="008F35F6"/>
    <w:rsid w:val="008F6C74"/>
    <w:rsid w:val="00904139"/>
    <w:rsid w:val="00911CE5"/>
    <w:rsid w:val="00930F43"/>
    <w:rsid w:val="009326F5"/>
    <w:rsid w:val="00940D3A"/>
    <w:rsid w:val="009438E6"/>
    <w:rsid w:val="009707A5"/>
    <w:rsid w:val="00972EFA"/>
    <w:rsid w:val="0097585A"/>
    <w:rsid w:val="00983D75"/>
    <w:rsid w:val="009A00FA"/>
    <w:rsid w:val="009A343B"/>
    <w:rsid w:val="009C1E11"/>
    <w:rsid w:val="009C3858"/>
    <w:rsid w:val="009C49E7"/>
    <w:rsid w:val="009C7F66"/>
    <w:rsid w:val="009E2405"/>
    <w:rsid w:val="009E6DC9"/>
    <w:rsid w:val="00A003B3"/>
    <w:rsid w:val="00A06EDB"/>
    <w:rsid w:val="00A1386A"/>
    <w:rsid w:val="00A14F5B"/>
    <w:rsid w:val="00A41FB3"/>
    <w:rsid w:val="00A42E2A"/>
    <w:rsid w:val="00A46566"/>
    <w:rsid w:val="00A522CB"/>
    <w:rsid w:val="00A83426"/>
    <w:rsid w:val="00A85355"/>
    <w:rsid w:val="00A90EB9"/>
    <w:rsid w:val="00A9326E"/>
    <w:rsid w:val="00A9558B"/>
    <w:rsid w:val="00AB057A"/>
    <w:rsid w:val="00AB5F9E"/>
    <w:rsid w:val="00AC0288"/>
    <w:rsid w:val="00AD2168"/>
    <w:rsid w:val="00AE27B6"/>
    <w:rsid w:val="00AE339B"/>
    <w:rsid w:val="00AE395E"/>
    <w:rsid w:val="00AE7DC5"/>
    <w:rsid w:val="00AF0758"/>
    <w:rsid w:val="00AF1A45"/>
    <w:rsid w:val="00AF3075"/>
    <w:rsid w:val="00B00749"/>
    <w:rsid w:val="00B0176B"/>
    <w:rsid w:val="00B139C3"/>
    <w:rsid w:val="00B23C7B"/>
    <w:rsid w:val="00B375E4"/>
    <w:rsid w:val="00B41E28"/>
    <w:rsid w:val="00B53C22"/>
    <w:rsid w:val="00B53E0E"/>
    <w:rsid w:val="00B63D95"/>
    <w:rsid w:val="00B75C80"/>
    <w:rsid w:val="00B839A9"/>
    <w:rsid w:val="00B85F2E"/>
    <w:rsid w:val="00B95E25"/>
    <w:rsid w:val="00BA0BBA"/>
    <w:rsid w:val="00BA16AC"/>
    <w:rsid w:val="00BA4D84"/>
    <w:rsid w:val="00BB1FA7"/>
    <w:rsid w:val="00BD1BB8"/>
    <w:rsid w:val="00BD6574"/>
    <w:rsid w:val="00BE010E"/>
    <w:rsid w:val="00BE3CE1"/>
    <w:rsid w:val="00BF0E30"/>
    <w:rsid w:val="00BF11A9"/>
    <w:rsid w:val="00BF12DC"/>
    <w:rsid w:val="00BF6BEC"/>
    <w:rsid w:val="00C14613"/>
    <w:rsid w:val="00C20C27"/>
    <w:rsid w:val="00C24F7C"/>
    <w:rsid w:val="00C261E4"/>
    <w:rsid w:val="00C27973"/>
    <w:rsid w:val="00C3307A"/>
    <w:rsid w:val="00C53547"/>
    <w:rsid w:val="00C54D64"/>
    <w:rsid w:val="00C61096"/>
    <w:rsid w:val="00C6217E"/>
    <w:rsid w:val="00C6562F"/>
    <w:rsid w:val="00C76D17"/>
    <w:rsid w:val="00C8156E"/>
    <w:rsid w:val="00CA44D1"/>
    <w:rsid w:val="00CA4D4A"/>
    <w:rsid w:val="00CA5875"/>
    <w:rsid w:val="00CC27DB"/>
    <w:rsid w:val="00CC537C"/>
    <w:rsid w:val="00CE1854"/>
    <w:rsid w:val="00CE2DEF"/>
    <w:rsid w:val="00CF3A96"/>
    <w:rsid w:val="00D03CE6"/>
    <w:rsid w:val="00D1796D"/>
    <w:rsid w:val="00D27CB1"/>
    <w:rsid w:val="00D356EA"/>
    <w:rsid w:val="00D457D7"/>
    <w:rsid w:val="00D45EF6"/>
    <w:rsid w:val="00D54169"/>
    <w:rsid w:val="00D57AA0"/>
    <w:rsid w:val="00D60DA3"/>
    <w:rsid w:val="00D60EC2"/>
    <w:rsid w:val="00D6350E"/>
    <w:rsid w:val="00D670A7"/>
    <w:rsid w:val="00D73402"/>
    <w:rsid w:val="00D74DD1"/>
    <w:rsid w:val="00D76D8F"/>
    <w:rsid w:val="00D840F0"/>
    <w:rsid w:val="00D8571F"/>
    <w:rsid w:val="00D87F0C"/>
    <w:rsid w:val="00D96383"/>
    <w:rsid w:val="00D966F0"/>
    <w:rsid w:val="00DB217B"/>
    <w:rsid w:val="00DB675F"/>
    <w:rsid w:val="00DB7DED"/>
    <w:rsid w:val="00DC6941"/>
    <w:rsid w:val="00DC7F41"/>
    <w:rsid w:val="00DD5007"/>
    <w:rsid w:val="00DE2146"/>
    <w:rsid w:val="00DE235A"/>
    <w:rsid w:val="00DE5640"/>
    <w:rsid w:val="00DF4FB9"/>
    <w:rsid w:val="00DF531C"/>
    <w:rsid w:val="00DF60DF"/>
    <w:rsid w:val="00E01844"/>
    <w:rsid w:val="00E1469E"/>
    <w:rsid w:val="00E21A1C"/>
    <w:rsid w:val="00E26B70"/>
    <w:rsid w:val="00E37632"/>
    <w:rsid w:val="00E4454F"/>
    <w:rsid w:val="00E655F8"/>
    <w:rsid w:val="00E66BE9"/>
    <w:rsid w:val="00E67CF5"/>
    <w:rsid w:val="00E75F84"/>
    <w:rsid w:val="00E804C4"/>
    <w:rsid w:val="00E87B8C"/>
    <w:rsid w:val="00E93330"/>
    <w:rsid w:val="00EC0009"/>
    <w:rsid w:val="00EC74F9"/>
    <w:rsid w:val="00EC7B82"/>
    <w:rsid w:val="00EC7D33"/>
    <w:rsid w:val="00EE0F67"/>
    <w:rsid w:val="00EE1DFE"/>
    <w:rsid w:val="00EE5CAD"/>
    <w:rsid w:val="00F02757"/>
    <w:rsid w:val="00F07B70"/>
    <w:rsid w:val="00F20714"/>
    <w:rsid w:val="00F4791A"/>
    <w:rsid w:val="00F530C7"/>
    <w:rsid w:val="00F53CE4"/>
    <w:rsid w:val="00F650BF"/>
    <w:rsid w:val="00F7100D"/>
    <w:rsid w:val="00F777E7"/>
    <w:rsid w:val="00F854C5"/>
    <w:rsid w:val="00F93A86"/>
    <w:rsid w:val="00FA3237"/>
    <w:rsid w:val="00FA4ACC"/>
    <w:rsid w:val="00FA7324"/>
    <w:rsid w:val="00FB24F7"/>
    <w:rsid w:val="00FB4A6F"/>
    <w:rsid w:val="00FC0969"/>
    <w:rsid w:val="00FC66A3"/>
    <w:rsid w:val="00FD3E61"/>
    <w:rsid w:val="00FD7948"/>
    <w:rsid w:val="00FE1555"/>
    <w:rsid w:val="00FF2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AF07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character" w:customStyle="1" w:styleId="Heading8Char">
    <w:name w:val="Heading 8 Char"/>
    <w:basedOn w:val="DefaultParagraphFont"/>
    <w:link w:val="Heading8"/>
    <w:uiPriority w:val="9"/>
    <w:semiHidden/>
    <w:rsid w:val="00AF0758"/>
    <w:rPr>
      <w:rFonts w:asciiTheme="majorHAnsi" w:eastAsiaTheme="majorEastAsia" w:hAnsiTheme="majorHAnsi" w:cstheme="majorBidi"/>
      <w:color w:val="404040" w:themeColor="text1" w:themeTint="BF"/>
      <w:sz w:val="20"/>
      <w:szCs w:val="20"/>
    </w:rPr>
  </w:style>
  <w:style w:type="paragraph" w:customStyle="1" w:styleId="djarticleparagraph">
    <w:name w:val="dj_article_paragraph"/>
    <w:basedOn w:val="Normal"/>
    <w:rsid w:val="001908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jarticleplain">
    <w:name w:val="dj_article_plain"/>
    <w:basedOn w:val="DefaultParagraphFont"/>
    <w:rsid w:val="00190816"/>
  </w:style>
  <w:style w:type="character" w:customStyle="1" w:styleId="xn-chron">
    <w:name w:val="xn-chron"/>
    <w:basedOn w:val="DefaultParagraphFont"/>
    <w:rsid w:val="0017576A"/>
  </w:style>
  <w:style w:type="character" w:customStyle="1" w:styleId="xn-money">
    <w:name w:val="xn-money"/>
    <w:basedOn w:val="DefaultParagraphFont"/>
    <w:rsid w:val="0017576A"/>
  </w:style>
  <w:style w:type="paragraph" w:customStyle="1" w:styleId="textbodysmall1">
    <w:name w:val="text_bodysmall1"/>
    <w:basedOn w:val="Normal"/>
    <w:rsid w:val="005C4683"/>
    <w:pPr>
      <w:spacing w:before="100" w:beforeAutospacing="1" w:after="100" w:afterAutospacing="1" w:line="240" w:lineRule="auto"/>
    </w:pPr>
    <w:rPr>
      <w:rFonts w:ascii="Times New Roman" w:eastAsia="Times New Roman" w:hAnsi="Times New Roman" w:cs="Times New Roman"/>
      <w:color w:val="2D2D2D"/>
      <w:sz w:val="15"/>
      <w:szCs w:val="15"/>
      <w:lang w:eastAsia="en-AU"/>
    </w:rPr>
  </w:style>
  <w:style w:type="character" w:customStyle="1" w:styleId="textbodysmall2">
    <w:name w:val="text_bodysmall2"/>
    <w:basedOn w:val="DefaultParagraphFont"/>
    <w:rsid w:val="005C4683"/>
    <w:rPr>
      <w:color w:val="2D2D2D"/>
      <w:sz w:val="15"/>
      <w:szCs w:val="15"/>
    </w:rPr>
  </w:style>
  <w:style w:type="paragraph" w:customStyle="1" w:styleId="releasefooter1">
    <w:name w:val="releasefooter1"/>
    <w:basedOn w:val="Normal"/>
    <w:rsid w:val="005C4683"/>
    <w:pPr>
      <w:pBdr>
        <w:top w:val="single" w:sz="6" w:space="0" w:color="C1C1C1"/>
      </w:pBdr>
      <w:spacing w:before="600" w:after="600" w:line="240" w:lineRule="auto"/>
    </w:pPr>
    <w:rPr>
      <w:rFonts w:ascii="Times New Roman" w:eastAsia="Times New Roman" w:hAnsi="Times New Roman" w:cs="Times New Roman"/>
      <w:color w:val="2D2D2D"/>
      <w:sz w:val="24"/>
      <w:szCs w:val="24"/>
      <w:lang w:eastAsia="en-AU"/>
    </w:rPr>
  </w:style>
  <w:style w:type="character" w:customStyle="1" w:styleId="pop-cite">
    <w:name w:val="pop-cite"/>
    <w:basedOn w:val="DefaultParagraphFont"/>
    <w:rsid w:val="0010368F"/>
  </w:style>
  <w:style w:type="character" w:customStyle="1" w:styleId="slug-pop-date">
    <w:name w:val="slug-pop-date"/>
    <w:basedOn w:val="DefaultParagraphFont"/>
    <w:rsid w:val="0010368F"/>
  </w:style>
  <w:style w:type="character" w:customStyle="1" w:styleId="pop-slug">
    <w:name w:val="pop-slug"/>
    <w:basedOn w:val="DefaultParagraphFont"/>
    <w:rsid w:val="0010368F"/>
  </w:style>
  <w:style w:type="paragraph" w:styleId="TOCHeading">
    <w:name w:val="TOC Heading"/>
    <w:basedOn w:val="Heading1"/>
    <w:next w:val="Normal"/>
    <w:uiPriority w:val="39"/>
    <w:semiHidden/>
    <w:unhideWhenUsed/>
    <w:qFormat/>
    <w:rsid w:val="00B375E4"/>
    <w:pPr>
      <w:outlineLvl w:val="9"/>
    </w:pPr>
    <w:rPr>
      <w:lang w:val="en-US" w:eastAsia="ja-JP"/>
    </w:rPr>
  </w:style>
  <w:style w:type="paragraph" w:styleId="TOC1">
    <w:name w:val="toc 1"/>
    <w:basedOn w:val="Normal"/>
    <w:next w:val="Normal"/>
    <w:autoRedefine/>
    <w:uiPriority w:val="39"/>
    <w:unhideWhenUsed/>
    <w:rsid w:val="00B375E4"/>
    <w:pPr>
      <w:spacing w:after="100"/>
    </w:pPr>
  </w:style>
  <w:style w:type="paragraph" w:styleId="TOC3">
    <w:name w:val="toc 3"/>
    <w:basedOn w:val="Normal"/>
    <w:next w:val="Normal"/>
    <w:autoRedefine/>
    <w:uiPriority w:val="39"/>
    <w:unhideWhenUsed/>
    <w:rsid w:val="00B375E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AF07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character" w:customStyle="1" w:styleId="Heading8Char">
    <w:name w:val="Heading 8 Char"/>
    <w:basedOn w:val="DefaultParagraphFont"/>
    <w:link w:val="Heading8"/>
    <w:uiPriority w:val="9"/>
    <w:semiHidden/>
    <w:rsid w:val="00AF0758"/>
    <w:rPr>
      <w:rFonts w:asciiTheme="majorHAnsi" w:eastAsiaTheme="majorEastAsia" w:hAnsiTheme="majorHAnsi" w:cstheme="majorBidi"/>
      <w:color w:val="404040" w:themeColor="text1" w:themeTint="BF"/>
      <w:sz w:val="20"/>
      <w:szCs w:val="20"/>
    </w:rPr>
  </w:style>
  <w:style w:type="paragraph" w:customStyle="1" w:styleId="djarticleparagraph">
    <w:name w:val="dj_article_paragraph"/>
    <w:basedOn w:val="Normal"/>
    <w:rsid w:val="001908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jarticleplain">
    <w:name w:val="dj_article_plain"/>
    <w:basedOn w:val="DefaultParagraphFont"/>
    <w:rsid w:val="00190816"/>
  </w:style>
  <w:style w:type="character" w:customStyle="1" w:styleId="xn-chron">
    <w:name w:val="xn-chron"/>
    <w:basedOn w:val="DefaultParagraphFont"/>
    <w:rsid w:val="0017576A"/>
  </w:style>
  <w:style w:type="character" w:customStyle="1" w:styleId="xn-money">
    <w:name w:val="xn-money"/>
    <w:basedOn w:val="DefaultParagraphFont"/>
    <w:rsid w:val="0017576A"/>
  </w:style>
  <w:style w:type="paragraph" w:customStyle="1" w:styleId="textbodysmall1">
    <w:name w:val="text_bodysmall1"/>
    <w:basedOn w:val="Normal"/>
    <w:rsid w:val="005C4683"/>
    <w:pPr>
      <w:spacing w:before="100" w:beforeAutospacing="1" w:after="100" w:afterAutospacing="1" w:line="240" w:lineRule="auto"/>
    </w:pPr>
    <w:rPr>
      <w:rFonts w:ascii="Times New Roman" w:eastAsia="Times New Roman" w:hAnsi="Times New Roman" w:cs="Times New Roman"/>
      <w:color w:val="2D2D2D"/>
      <w:sz w:val="15"/>
      <w:szCs w:val="15"/>
      <w:lang w:eastAsia="en-AU"/>
    </w:rPr>
  </w:style>
  <w:style w:type="character" w:customStyle="1" w:styleId="textbodysmall2">
    <w:name w:val="text_bodysmall2"/>
    <w:basedOn w:val="DefaultParagraphFont"/>
    <w:rsid w:val="005C4683"/>
    <w:rPr>
      <w:color w:val="2D2D2D"/>
      <w:sz w:val="15"/>
      <w:szCs w:val="15"/>
    </w:rPr>
  </w:style>
  <w:style w:type="paragraph" w:customStyle="1" w:styleId="releasefooter1">
    <w:name w:val="releasefooter1"/>
    <w:basedOn w:val="Normal"/>
    <w:rsid w:val="005C4683"/>
    <w:pPr>
      <w:pBdr>
        <w:top w:val="single" w:sz="6" w:space="0" w:color="C1C1C1"/>
      </w:pBdr>
      <w:spacing w:before="600" w:after="600" w:line="240" w:lineRule="auto"/>
    </w:pPr>
    <w:rPr>
      <w:rFonts w:ascii="Times New Roman" w:eastAsia="Times New Roman" w:hAnsi="Times New Roman" w:cs="Times New Roman"/>
      <w:color w:val="2D2D2D"/>
      <w:sz w:val="24"/>
      <w:szCs w:val="24"/>
      <w:lang w:eastAsia="en-AU"/>
    </w:rPr>
  </w:style>
  <w:style w:type="character" w:customStyle="1" w:styleId="pop-cite">
    <w:name w:val="pop-cite"/>
    <w:basedOn w:val="DefaultParagraphFont"/>
    <w:rsid w:val="0010368F"/>
  </w:style>
  <w:style w:type="character" w:customStyle="1" w:styleId="slug-pop-date">
    <w:name w:val="slug-pop-date"/>
    <w:basedOn w:val="DefaultParagraphFont"/>
    <w:rsid w:val="0010368F"/>
  </w:style>
  <w:style w:type="character" w:customStyle="1" w:styleId="pop-slug">
    <w:name w:val="pop-slug"/>
    <w:basedOn w:val="DefaultParagraphFont"/>
    <w:rsid w:val="0010368F"/>
  </w:style>
  <w:style w:type="paragraph" w:styleId="TOCHeading">
    <w:name w:val="TOC Heading"/>
    <w:basedOn w:val="Heading1"/>
    <w:next w:val="Normal"/>
    <w:uiPriority w:val="39"/>
    <w:semiHidden/>
    <w:unhideWhenUsed/>
    <w:qFormat/>
    <w:rsid w:val="00B375E4"/>
    <w:pPr>
      <w:outlineLvl w:val="9"/>
    </w:pPr>
    <w:rPr>
      <w:lang w:val="en-US" w:eastAsia="ja-JP"/>
    </w:rPr>
  </w:style>
  <w:style w:type="paragraph" w:styleId="TOC1">
    <w:name w:val="toc 1"/>
    <w:basedOn w:val="Normal"/>
    <w:next w:val="Normal"/>
    <w:autoRedefine/>
    <w:uiPriority w:val="39"/>
    <w:unhideWhenUsed/>
    <w:rsid w:val="00B375E4"/>
    <w:pPr>
      <w:spacing w:after="100"/>
    </w:pPr>
  </w:style>
  <w:style w:type="paragraph" w:styleId="TOC3">
    <w:name w:val="toc 3"/>
    <w:basedOn w:val="Normal"/>
    <w:next w:val="Normal"/>
    <w:autoRedefine/>
    <w:uiPriority w:val="39"/>
    <w:unhideWhenUsed/>
    <w:rsid w:val="00B375E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7764">
      <w:bodyDiv w:val="1"/>
      <w:marLeft w:val="0"/>
      <w:marRight w:val="0"/>
      <w:marTop w:val="0"/>
      <w:marBottom w:val="0"/>
      <w:divBdr>
        <w:top w:val="none" w:sz="0" w:space="0" w:color="auto"/>
        <w:left w:val="none" w:sz="0" w:space="0" w:color="auto"/>
        <w:bottom w:val="none" w:sz="0" w:space="0" w:color="auto"/>
        <w:right w:val="none" w:sz="0" w:space="0" w:color="auto"/>
      </w:divBdr>
    </w:div>
    <w:div w:id="1632980705">
      <w:bodyDiv w:val="1"/>
      <w:marLeft w:val="0"/>
      <w:marRight w:val="0"/>
      <w:marTop w:val="0"/>
      <w:marBottom w:val="0"/>
      <w:divBdr>
        <w:top w:val="none" w:sz="0" w:space="0" w:color="auto"/>
        <w:left w:val="none" w:sz="0" w:space="0" w:color="auto"/>
        <w:bottom w:val="none" w:sz="0" w:space="0" w:color="auto"/>
        <w:right w:val="none" w:sz="0" w:space="0" w:color="auto"/>
      </w:divBdr>
      <w:divsChild>
        <w:div w:id="1859078745">
          <w:marLeft w:val="0"/>
          <w:marRight w:val="0"/>
          <w:marTop w:val="0"/>
          <w:marBottom w:val="0"/>
          <w:divBdr>
            <w:top w:val="single" w:sz="6" w:space="0" w:color="D6D5C7"/>
            <w:left w:val="single" w:sz="6" w:space="0" w:color="D6D5C7"/>
            <w:bottom w:val="single" w:sz="6" w:space="0" w:color="D6D5C7"/>
            <w:right w:val="single" w:sz="6" w:space="0" w:color="D6D5C7"/>
          </w:divBdr>
          <w:divsChild>
            <w:div w:id="1208837767">
              <w:marLeft w:val="2925"/>
              <w:marRight w:val="0"/>
              <w:marTop w:val="0"/>
              <w:marBottom w:val="0"/>
              <w:divBdr>
                <w:top w:val="none" w:sz="0" w:space="0" w:color="auto"/>
                <w:left w:val="none" w:sz="0" w:space="0" w:color="auto"/>
                <w:bottom w:val="none" w:sz="0" w:space="0" w:color="auto"/>
                <w:right w:val="none" w:sz="0" w:space="0" w:color="auto"/>
              </w:divBdr>
              <w:divsChild>
                <w:div w:id="1890602974">
                  <w:marLeft w:val="0"/>
                  <w:marRight w:val="0"/>
                  <w:marTop w:val="0"/>
                  <w:marBottom w:val="0"/>
                  <w:divBdr>
                    <w:top w:val="none" w:sz="0" w:space="0" w:color="auto"/>
                    <w:left w:val="none" w:sz="0" w:space="0" w:color="auto"/>
                    <w:bottom w:val="none" w:sz="0" w:space="0" w:color="auto"/>
                    <w:right w:val="none" w:sz="0" w:space="0" w:color="auto"/>
                  </w:divBdr>
                </w:div>
                <w:div w:id="671376410">
                  <w:marLeft w:val="0"/>
                  <w:marRight w:val="0"/>
                  <w:marTop w:val="0"/>
                  <w:marBottom w:val="0"/>
                  <w:divBdr>
                    <w:top w:val="none" w:sz="0" w:space="0" w:color="auto"/>
                    <w:left w:val="none" w:sz="0" w:space="0" w:color="auto"/>
                    <w:bottom w:val="none" w:sz="0" w:space="0" w:color="auto"/>
                    <w:right w:val="none" w:sz="0" w:space="0" w:color="auto"/>
                  </w:divBdr>
                </w:div>
                <w:div w:id="1797023003">
                  <w:marLeft w:val="150"/>
                  <w:marRight w:val="0"/>
                  <w:marTop w:val="150"/>
                  <w:marBottom w:val="150"/>
                  <w:divBdr>
                    <w:top w:val="single" w:sz="6" w:space="8" w:color="C1C1C1"/>
                    <w:left w:val="single" w:sz="6" w:space="8" w:color="C1C1C1"/>
                    <w:bottom w:val="single" w:sz="6" w:space="8" w:color="C1C1C1"/>
                    <w:right w:val="single" w:sz="6" w:space="8" w:color="C1C1C1"/>
                  </w:divBdr>
                </w:div>
                <w:div w:id="15427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68011">
      <w:bodyDiv w:val="1"/>
      <w:marLeft w:val="0"/>
      <w:marRight w:val="0"/>
      <w:marTop w:val="0"/>
      <w:marBottom w:val="0"/>
      <w:divBdr>
        <w:top w:val="none" w:sz="0" w:space="0" w:color="auto"/>
        <w:left w:val="none" w:sz="0" w:space="0" w:color="auto"/>
        <w:bottom w:val="none" w:sz="0" w:space="0" w:color="auto"/>
        <w:right w:val="none" w:sz="0" w:space="0" w:color="auto"/>
      </w:divBdr>
    </w:div>
    <w:div w:id="20935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hyperlink" Target="http://www.fiercepharma.com/tags/medimmune" TargetMode="External"/><Relationship Id="rId2" Type="http://schemas.openxmlformats.org/officeDocument/2006/relationships/numbering" Target="numbering.xml"/><Relationship Id="rId16" Type="http://schemas.openxmlformats.org/officeDocument/2006/relationships/hyperlink" Target="http://www.empr.com/dengue-fever-patient-information-fact-sheet/article/2285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uters.com/finance/stocks/overview?symbol=NVO&amp;lc=int_mb_1001" TargetMode="External"/><Relationship Id="rId5" Type="http://schemas.openxmlformats.org/officeDocument/2006/relationships/settings" Target="settings.xml"/><Relationship Id="rId15" Type="http://schemas.openxmlformats.org/officeDocument/2006/relationships/hyperlink" Target="http://www.dukehealth.org/physicians/jeffrey_h_lawson" TargetMode="External"/><Relationship Id="rId10" Type="http://schemas.openxmlformats.org/officeDocument/2006/relationships/hyperlink" Target="http://www.bizjournals.com/profiles/company/us/pa/exton/viropharma_inc/323409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2007213344" TargetMode="External"/><Relationship Id="rId14" Type="http://schemas.openxmlformats.org/officeDocument/2006/relationships/hyperlink" Target="javascript:void(0);" TargetMode="External"/></Relationships>
</file>

<file path=word/_rels/footnotes.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x.doi.org/10.1038/nature12271" TargetMode="External"/><Relationship Id="rId18" Type="http://schemas.openxmlformats.org/officeDocument/2006/relationships/hyperlink" Target="http://www.pulsus.com/servlet/com.pulsus.servlets.PulsusServlet?pageId=search&amp;userAction=authSearch&amp;searchStep=AdvSearch&amp;searchtype=word&amp;jnlKey=3&amp;auth=MA%20Fearon&amp;jnlKy=3&amp;journal=3" TargetMode="External"/><Relationship Id="rId3" Type="http://schemas.openxmlformats.org/officeDocument/2006/relationships/hyperlink" Target="http://www.thelancet.com/search/results?fieldName=Authors&amp;searchTerm=Lawrence%20T+Goodnough" TargetMode="External"/><Relationship Id="rId21" Type="http://schemas.openxmlformats.org/officeDocument/2006/relationships/hyperlink" Target="http://www.pulsus.com/servlet/com.pulsus.servlets.PulsusServlet?pageId=search&amp;userAction=authSearch&amp;searchStep=AdvSearch&amp;searchtype=word&amp;jnlKey=3&amp;auth=%20I%20Dines&amp;jnlKy=3&amp;journal=3" TargetMode="External"/><Relationship Id="rId7" Type="http://schemas.openxmlformats.org/officeDocument/2006/relationships/hyperlink" Target="http://www.thelancet.com/popup?fileName=cite-using-doi" TargetMode="External"/><Relationship Id="rId12" Type="http://schemas.openxmlformats.org/officeDocument/2006/relationships/hyperlink" Target="http://dx.doi.org/10.1038/nature12215" TargetMode="External"/><Relationship Id="rId17" Type="http://schemas.openxmlformats.org/officeDocument/2006/relationships/hyperlink" Target="http://www.bmj.com/content/346/bmj.f3449" TargetMode="External"/><Relationship Id="rId2" Type="http://schemas.openxmlformats.org/officeDocument/2006/relationships/hyperlink" Target="http://o.canada.com/2013/07/12/blood-hazards/" TargetMode="External"/><Relationship Id="rId16" Type="http://schemas.openxmlformats.org/officeDocument/2006/relationships/hyperlink" Target="http://www.bmj.com/content/346/bmj.f3039" TargetMode="External"/><Relationship Id="rId20" Type="http://schemas.openxmlformats.org/officeDocument/2006/relationships/hyperlink" Target="http://www.pulsus.com/servlet/com.pulsus.servlets.PulsusServlet?pageId=search&amp;userAction=authSearch&amp;searchStep=AdvSearch&amp;searchtype=word&amp;jnlKey=3&amp;auth=%20M%20Huang&amp;jnlKy=3&amp;journal=3" TargetMode="External"/><Relationship Id="rId1" Type="http://schemas.openxmlformats.org/officeDocument/2006/relationships/hyperlink" Target="http://o.canada.com/2013/07/12/blood-transfusions/" TargetMode="External"/><Relationship Id="rId6" Type="http://schemas.openxmlformats.org/officeDocument/2006/relationships/hyperlink" Target="http://www.thelancet.com/journals/lancet/issue/vol381no9880/PIIS0140-6736(13)X6026-X" TargetMode="External"/><Relationship Id="rId11" Type="http://schemas.openxmlformats.org/officeDocument/2006/relationships/hyperlink" Target="http://www.arthroplastyjournal.org/issues?issue_key=S0883-5403(13)X0005-1" TargetMode="External"/><Relationship Id="rId5" Type="http://schemas.openxmlformats.org/officeDocument/2006/relationships/hyperlink" Target="http://www.thelancet.com/search/results?fieldName=Authors&amp;searchTerm=Michael%20F+Murphy" TargetMode="External"/><Relationship Id="rId15" Type="http://schemas.openxmlformats.org/officeDocument/2006/relationships/hyperlink" Target="http://www.thelancet.com/search/results?fieldName=Authors&amp;searchTerm=Hongjie+Yu" TargetMode="External"/><Relationship Id="rId23" Type="http://schemas.openxmlformats.org/officeDocument/2006/relationships/hyperlink" Target="http://www.pulsus.com/servlet/com.pulsus.servlets.PulsusServlet?pageId=search&amp;userAction=authSearch&amp;searchStep=AdvSearch&amp;searchtype=word&amp;jnlKey=3&amp;auth=%20P%20Lagac&#233;-Wiens&amp;jnlKy=3&amp;journal=3" TargetMode="External"/><Relationship Id="rId10" Type="http://schemas.openxmlformats.org/officeDocument/2006/relationships/hyperlink" Target="http://www.arthroplastyjournal.org/article/S0883-5403(13)00166-6/abstract" TargetMode="External"/><Relationship Id="rId19" Type="http://schemas.openxmlformats.org/officeDocument/2006/relationships/hyperlink" Target="http://www.pulsus.com/servlet/com.pulsus.servlets.PulsusServlet?pageId=search&amp;userAction=authSearch&amp;searchStep=AdvSearch&amp;searchtype=word&amp;jnlKey=3&amp;auth=%20V%20Scalia&amp;jnlKy=3&amp;journal=3" TargetMode="External"/><Relationship Id="rId4" Type="http://schemas.openxmlformats.org/officeDocument/2006/relationships/hyperlink" Target="http://www.thelancet.com/search/results?fieldName=Authors&amp;searchTerm=Jerrold%20H+Levy" TargetMode="External"/><Relationship Id="rId9" Type="http://schemas.openxmlformats.org/officeDocument/2006/relationships/image" Target="cid:image001.gif@01CE6DC5.E200C810" TargetMode="External"/><Relationship Id="rId14" Type="http://schemas.openxmlformats.org/officeDocument/2006/relationships/hyperlink" Target="https://owa.nba.gov.au/owa/redir.aspx?C=8kBJ6R268Uu1h6p0B3MbI4RqUkt7TtAIe-jbCLVzCqbCCsf2MQx8jCELIkFjy-ktzzMFMLrZGBo.&amp;URL=http%3a%2f%2fwww.nature.com%2fnmeth%2fjournal%2fv4%2fn12%2fabs%2fnmeth1131.html" TargetMode="External"/><Relationship Id="rId22" Type="http://schemas.openxmlformats.org/officeDocument/2006/relationships/hyperlink" Target="http://www.pulsus.com/servlet/com.pulsus.servlets.PulsusServlet?pageId=search&amp;userAction=authSearch&amp;searchStep=AdvSearch&amp;searchtype=word&amp;jnlKey=3&amp;auth=%20M%20Ndao&amp;jnlKy=3&amp;journa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969B-C8BA-4BA3-A8D1-D95BDB02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6868</Words>
  <Characters>39154</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Wright, Rachel</cp:lastModifiedBy>
  <cp:revision>2</cp:revision>
  <cp:lastPrinted>2013-07-15T03:31:00Z</cp:lastPrinted>
  <dcterms:created xsi:type="dcterms:W3CDTF">2013-07-22T23:09:00Z</dcterms:created>
  <dcterms:modified xsi:type="dcterms:W3CDTF">2013-07-22T23:09:00Z</dcterms:modified>
</cp:coreProperties>
</file>