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0E545D" w:rsidRDefault="00AF3075" w:rsidP="00AF3075">
      <w:pPr>
        <w:pStyle w:val="Title"/>
        <w:rPr>
          <w:rFonts w:asciiTheme="minorHAnsi" w:hAnsiTheme="minorHAnsi" w:cstheme="minorHAnsi"/>
        </w:rPr>
      </w:pPr>
      <w:r w:rsidRPr="000E545D">
        <w:rPr>
          <w:rFonts w:asciiTheme="minorHAnsi" w:hAnsiTheme="minorHAnsi" w:cstheme="minorHAnsi"/>
        </w:rPr>
        <w:t>Monitoring International Trends</w:t>
      </w:r>
    </w:p>
    <w:p w:rsidR="00032145" w:rsidRPr="000E545D" w:rsidRDefault="00032145" w:rsidP="00032145">
      <w:pPr>
        <w:rPr>
          <w:rFonts w:cstheme="minorHAnsi"/>
          <w:b/>
        </w:rPr>
      </w:pPr>
      <w:proofErr w:type="gramStart"/>
      <w:r w:rsidRPr="000E545D">
        <w:rPr>
          <w:rFonts w:cstheme="minorHAnsi"/>
          <w:b/>
        </w:rPr>
        <w:t>posted</w:t>
      </w:r>
      <w:proofErr w:type="gramEnd"/>
      <w:r w:rsidRPr="000E545D">
        <w:rPr>
          <w:rFonts w:cstheme="minorHAnsi"/>
          <w:b/>
        </w:rPr>
        <w:t xml:space="preserve"> </w:t>
      </w:r>
      <w:r w:rsidR="00CB0D7F" w:rsidRPr="000E545D">
        <w:rPr>
          <w:rFonts w:cstheme="minorHAnsi"/>
          <w:b/>
        </w:rPr>
        <w:t xml:space="preserve">April </w:t>
      </w:r>
      <w:r w:rsidR="00E83E2A" w:rsidRPr="000E545D">
        <w:rPr>
          <w:rFonts w:cstheme="minorHAnsi"/>
          <w:b/>
        </w:rPr>
        <w:t>2014</w:t>
      </w:r>
    </w:p>
    <w:p w:rsidR="00032145" w:rsidRPr="000E545D" w:rsidRDefault="00032145" w:rsidP="00032145">
      <w:pPr>
        <w:spacing w:before="120"/>
        <w:rPr>
          <w:rFonts w:cstheme="minorHAnsi"/>
        </w:rPr>
      </w:pPr>
      <w:r w:rsidRPr="000E545D">
        <w:rPr>
          <w:rFonts w:cstheme="minorHAnsi"/>
        </w:rPr>
        <w:t>The NBA monitors international developments that may influence the management of blood an</w:t>
      </w:r>
      <w:r w:rsidR="00F77478" w:rsidRPr="000E545D">
        <w:rPr>
          <w:rFonts w:cstheme="minorHAnsi"/>
        </w:rPr>
        <w:t xml:space="preserve">d blood products in Australia. </w:t>
      </w:r>
      <w:r w:rsidRPr="000E545D">
        <w:rPr>
          <w:rFonts w:cstheme="minorHAnsi"/>
        </w:rPr>
        <w:t>Our focus is on:</w:t>
      </w:r>
    </w:p>
    <w:p w:rsidR="00032145" w:rsidRPr="000E545D" w:rsidRDefault="00032145" w:rsidP="000E545D">
      <w:pPr>
        <w:numPr>
          <w:ilvl w:val="0"/>
          <w:numId w:val="3"/>
        </w:numPr>
        <w:tabs>
          <w:tab w:val="num" w:pos="284"/>
        </w:tabs>
        <w:spacing w:after="0" w:line="360" w:lineRule="auto"/>
        <w:ind w:left="284" w:hanging="284"/>
        <w:rPr>
          <w:rFonts w:cstheme="minorHAnsi"/>
        </w:rPr>
      </w:pPr>
      <w:r w:rsidRPr="000E545D">
        <w:rPr>
          <w:rFonts w:cstheme="minorHAnsi"/>
        </w:rPr>
        <w:t xml:space="preserve">Potential new product developments and applications; </w:t>
      </w:r>
    </w:p>
    <w:p w:rsidR="0055355B" w:rsidRPr="000E545D" w:rsidRDefault="00032145" w:rsidP="000E545D">
      <w:pPr>
        <w:numPr>
          <w:ilvl w:val="0"/>
          <w:numId w:val="3"/>
        </w:numPr>
        <w:tabs>
          <w:tab w:val="num" w:pos="284"/>
        </w:tabs>
        <w:spacing w:after="0" w:line="360" w:lineRule="auto"/>
        <w:ind w:left="284" w:hanging="284"/>
        <w:rPr>
          <w:rFonts w:cstheme="minorHAnsi"/>
        </w:rPr>
      </w:pPr>
      <w:r w:rsidRPr="000E545D">
        <w:rPr>
          <w:rFonts w:cstheme="minorHAnsi"/>
        </w:rPr>
        <w:t xml:space="preserve">Global regulatory and blood practice trends; </w:t>
      </w:r>
    </w:p>
    <w:p w:rsidR="00032145" w:rsidRPr="000E545D" w:rsidRDefault="00032145" w:rsidP="000E545D">
      <w:pPr>
        <w:numPr>
          <w:ilvl w:val="0"/>
          <w:numId w:val="3"/>
        </w:numPr>
        <w:tabs>
          <w:tab w:val="num" w:pos="284"/>
        </w:tabs>
        <w:spacing w:after="0" w:line="360" w:lineRule="auto"/>
        <w:ind w:left="284" w:hanging="284"/>
        <w:rPr>
          <w:rFonts w:cstheme="minorHAnsi"/>
        </w:rPr>
      </w:pPr>
      <w:r w:rsidRPr="000E545D">
        <w:rPr>
          <w:rFonts w:cstheme="minorHAnsi"/>
        </w:rPr>
        <w:t>Events that may have an impact on global supply, demand and pricing, such as changes in company structure, capacity, organisation and ownership; and</w:t>
      </w:r>
    </w:p>
    <w:p w:rsidR="00032145" w:rsidRPr="000E545D" w:rsidRDefault="00032145" w:rsidP="000E545D">
      <w:pPr>
        <w:numPr>
          <w:ilvl w:val="0"/>
          <w:numId w:val="3"/>
        </w:numPr>
        <w:tabs>
          <w:tab w:val="num" w:pos="284"/>
        </w:tabs>
        <w:spacing w:after="0" w:line="360" w:lineRule="auto"/>
        <w:ind w:left="284" w:hanging="284"/>
        <w:rPr>
          <w:rFonts w:cstheme="minorHAnsi"/>
        </w:rPr>
      </w:pPr>
      <w:r w:rsidRPr="000E545D">
        <w:rPr>
          <w:rFonts w:cstheme="minorHAnsi"/>
        </w:rPr>
        <w:t>Other emerging risks that could potentially put financial or other pressures on the Australian sector.</w:t>
      </w:r>
    </w:p>
    <w:p w:rsidR="00BB3CFE" w:rsidRPr="000E545D" w:rsidRDefault="00032145" w:rsidP="00BB3CFE">
      <w:pPr>
        <w:rPr>
          <w:rFonts w:cstheme="minorHAnsi"/>
        </w:rPr>
      </w:pPr>
      <w:r w:rsidRPr="000E545D">
        <w:rPr>
          <w:rFonts w:cstheme="minorHAnsi"/>
        </w:rPr>
        <w:t>A selection of recent matt</w:t>
      </w:r>
      <w:r w:rsidR="00F77478" w:rsidRPr="000E545D">
        <w:rPr>
          <w:rFonts w:cstheme="minorHAnsi"/>
        </w:rPr>
        <w:t xml:space="preserve">ers of interest appears below. </w:t>
      </w:r>
      <w:r w:rsidR="00BB3CFE" w:rsidRPr="000E545D">
        <w:rPr>
          <w:rFonts w:eastAsia="Arial" w:cstheme="minorHAnsi"/>
        </w:rPr>
        <w:t>Highlights</w:t>
      </w:r>
      <w:r w:rsidR="00BB3CFE" w:rsidRPr="000E545D">
        <w:rPr>
          <w:rFonts w:eastAsia="Arial" w:cstheme="minorHAnsi"/>
          <w:spacing w:val="-10"/>
        </w:rPr>
        <w:t xml:space="preserve"> </w:t>
      </w:r>
      <w:r w:rsidR="00BB3CFE" w:rsidRPr="000E545D">
        <w:rPr>
          <w:rFonts w:eastAsia="Arial" w:cstheme="minorHAnsi"/>
        </w:rPr>
        <w:t>i</w:t>
      </w:r>
      <w:r w:rsidR="00BB3CFE" w:rsidRPr="000E545D">
        <w:rPr>
          <w:rFonts w:eastAsia="Arial" w:cstheme="minorHAnsi"/>
          <w:spacing w:val="-1"/>
        </w:rPr>
        <w:t>n</w:t>
      </w:r>
      <w:r w:rsidR="00BB3CFE" w:rsidRPr="000E545D">
        <w:rPr>
          <w:rFonts w:eastAsia="Arial" w:cstheme="minorHAnsi"/>
        </w:rPr>
        <w:t>cl</w:t>
      </w:r>
      <w:r w:rsidR="00BB3CFE" w:rsidRPr="000E545D">
        <w:rPr>
          <w:rFonts w:eastAsia="Arial" w:cstheme="minorHAnsi"/>
          <w:spacing w:val="-1"/>
        </w:rPr>
        <w:t>u</w:t>
      </w:r>
      <w:r w:rsidR="00BB3CFE" w:rsidRPr="000E545D">
        <w:rPr>
          <w:rFonts w:eastAsia="Arial" w:cstheme="minorHAnsi"/>
        </w:rPr>
        <w:t>de:</w:t>
      </w:r>
    </w:p>
    <w:p w:rsidR="007C0A50" w:rsidRPr="000E545D" w:rsidRDefault="00C528DE" w:rsidP="000E545D">
      <w:pPr>
        <w:numPr>
          <w:ilvl w:val="0"/>
          <w:numId w:val="3"/>
        </w:numPr>
        <w:tabs>
          <w:tab w:val="num" w:pos="284"/>
        </w:tabs>
        <w:spacing w:after="0"/>
        <w:ind w:left="284" w:hanging="284"/>
        <w:rPr>
          <w:rFonts w:cstheme="minorHAnsi"/>
        </w:rPr>
      </w:pPr>
      <w:r w:rsidRPr="000E545D">
        <w:rPr>
          <w:rFonts w:cstheme="minorHAnsi"/>
        </w:rPr>
        <w:t>Both Health Canada and the US Food and Drug Administration have approved</w:t>
      </w:r>
      <w:r w:rsidR="00BD1324" w:rsidRPr="000E545D">
        <w:rPr>
          <w:rFonts w:cstheme="minorHAnsi"/>
        </w:rPr>
        <w:t xml:space="preserve"> </w:t>
      </w:r>
      <w:proofErr w:type="spellStart"/>
      <w:r w:rsidRPr="000E545D">
        <w:rPr>
          <w:rFonts w:cstheme="minorHAnsi"/>
        </w:rPr>
        <w:t>Sobi</w:t>
      </w:r>
      <w:proofErr w:type="spellEnd"/>
      <w:r w:rsidRPr="000E545D">
        <w:rPr>
          <w:rFonts w:cstheme="minorHAnsi"/>
        </w:rPr>
        <w:t xml:space="preserve"> and Biogen’s Alprolix (a bioengineered version of blood coagulation factor IX, Fc fusion protein). This is the first long-acting haemophilia B therapy to be approved</w:t>
      </w:r>
      <w:r w:rsidR="000E545D">
        <w:rPr>
          <w:rFonts w:cstheme="minorHAnsi"/>
        </w:rPr>
        <w:t xml:space="preserve"> (page 3</w:t>
      </w:r>
      <w:r w:rsidR="006711C8" w:rsidRPr="000E545D">
        <w:rPr>
          <w:rFonts w:cstheme="minorHAnsi"/>
        </w:rPr>
        <w:t>)</w:t>
      </w:r>
      <w:r w:rsidRPr="000E545D">
        <w:rPr>
          <w:rFonts w:cstheme="minorHAnsi"/>
        </w:rPr>
        <w:t>.</w:t>
      </w:r>
    </w:p>
    <w:p w:rsidR="00BD1324" w:rsidRPr="000E545D" w:rsidRDefault="003A161B" w:rsidP="000E545D">
      <w:pPr>
        <w:numPr>
          <w:ilvl w:val="0"/>
          <w:numId w:val="3"/>
        </w:numPr>
        <w:tabs>
          <w:tab w:val="num" w:pos="284"/>
        </w:tabs>
        <w:spacing w:after="0"/>
        <w:ind w:left="284" w:hanging="284"/>
        <w:rPr>
          <w:rFonts w:cstheme="minorHAnsi"/>
        </w:rPr>
      </w:pPr>
      <w:r>
        <w:rPr>
          <w:rFonts w:cstheme="minorHAnsi"/>
        </w:rPr>
        <w:t>Baxter I</w:t>
      </w:r>
      <w:r w:rsidR="00C528DE" w:rsidRPr="000E545D">
        <w:rPr>
          <w:rFonts w:cstheme="minorHAnsi"/>
        </w:rPr>
        <w:t>nternational announced it is splitting into two companies, focussing on biopharmaceuticals and medical products respectively</w:t>
      </w:r>
      <w:r w:rsidR="006711C8" w:rsidRPr="000E545D">
        <w:rPr>
          <w:rFonts w:cstheme="minorHAnsi"/>
        </w:rPr>
        <w:t xml:space="preserve"> </w:t>
      </w:r>
      <w:r w:rsidR="000E545D" w:rsidRPr="000E545D">
        <w:rPr>
          <w:rFonts w:cstheme="minorHAnsi"/>
        </w:rPr>
        <w:t>(page</w:t>
      </w:r>
      <w:r w:rsidR="006711C8" w:rsidRPr="000E545D">
        <w:rPr>
          <w:rFonts w:cstheme="minorHAnsi"/>
        </w:rPr>
        <w:t xml:space="preserve"> 4)</w:t>
      </w:r>
      <w:r w:rsidR="00C528DE" w:rsidRPr="000E545D">
        <w:rPr>
          <w:rFonts w:cstheme="minorHAnsi"/>
        </w:rPr>
        <w:t>.</w:t>
      </w:r>
    </w:p>
    <w:p w:rsidR="00C528DE" w:rsidRPr="000E545D" w:rsidRDefault="00C528DE" w:rsidP="000E545D">
      <w:pPr>
        <w:numPr>
          <w:ilvl w:val="0"/>
          <w:numId w:val="3"/>
        </w:numPr>
        <w:tabs>
          <w:tab w:val="num" w:pos="284"/>
        </w:tabs>
        <w:spacing w:after="0"/>
        <w:ind w:left="284" w:hanging="284"/>
        <w:rPr>
          <w:rFonts w:cstheme="minorHAnsi"/>
        </w:rPr>
      </w:pPr>
      <w:r w:rsidRPr="000E545D">
        <w:rPr>
          <w:rFonts w:eastAsia="Times New Roman" w:cstheme="minorHAnsi"/>
        </w:rPr>
        <w:t>The Netherlands is revising its regulatory regime for biological research after Dutch scientists changed an avian influenza virus so it would be more contagious</w:t>
      </w:r>
      <w:r w:rsidR="006711C8" w:rsidRPr="000E545D">
        <w:rPr>
          <w:rFonts w:eastAsia="Times New Roman" w:cstheme="minorHAnsi"/>
        </w:rPr>
        <w:t xml:space="preserve"> (page 5)</w:t>
      </w:r>
      <w:r w:rsidRPr="000E545D">
        <w:rPr>
          <w:rFonts w:eastAsia="Times New Roman" w:cstheme="minorHAnsi"/>
        </w:rPr>
        <w:t>.</w:t>
      </w:r>
    </w:p>
    <w:p w:rsidR="00395D9E" w:rsidRPr="000E545D" w:rsidRDefault="00C528DE" w:rsidP="000E545D">
      <w:pPr>
        <w:numPr>
          <w:ilvl w:val="0"/>
          <w:numId w:val="3"/>
        </w:numPr>
        <w:tabs>
          <w:tab w:val="num" w:pos="284"/>
        </w:tabs>
        <w:spacing w:after="0"/>
        <w:ind w:left="284" w:hanging="284"/>
        <w:rPr>
          <w:rFonts w:cstheme="minorHAnsi"/>
        </w:rPr>
      </w:pPr>
      <w:r w:rsidRPr="000E545D">
        <w:rPr>
          <w:rFonts w:eastAsia="Times New Roman" w:cstheme="minorHAnsi"/>
        </w:rPr>
        <w:t>A study has shown that “t</w:t>
      </w:r>
      <w:r w:rsidRPr="000E545D">
        <w:rPr>
          <w:rFonts w:cstheme="minorHAnsi"/>
          <w:lang w:val="en"/>
        </w:rPr>
        <w:t xml:space="preserve">he susceptibility of stored red blood cells to </w:t>
      </w:r>
      <w:proofErr w:type="spellStart"/>
      <w:r w:rsidRPr="000E545D">
        <w:rPr>
          <w:rFonts w:cstheme="minorHAnsi"/>
          <w:lang w:val="en"/>
        </w:rPr>
        <w:t>erythrophagocytosis</w:t>
      </w:r>
      <w:proofErr w:type="spellEnd"/>
      <w:r w:rsidRPr="000E545D">
        <w:rPr>
          <w:rStyle w:val="FootnoteReference"/>
          <w:rFonts w:cstheme="minorHAnsi"/>
          <w:lang w:val="en"/>
        </w:rPr>
        <w:footnoteReference w:id="1"/>
      </w:r>
      <w:r w:rsidRPr="000E545D">
        <w:rPr>
          <w:rFonts w:cstheme="minorHAnsi"/>
          <w:lang w:val="en"/>
        </w:rPr>
        <w:t xml:space="preserve"> significantly increased with longer storage time of the </w:t>
      </w:r>
      <w:r w:rsidR="00395D9E" w:rsidRPr="000E545D">
        <w:rPr>
          <w:rFonts w:cstheme="minorHAnsi"/>
          <w:lang w:val="en"/>
        </w:rPr>
        <w:t>red blood cell units</w:t>
      </w:r>
      <w:r w:rsidR="003A161B">
        <w:rPr>
          <w:rFonts w:cstheme="minorHAnsi"/>
          <w:lang w:val="en"/>
        </w:rPr>
        <w:t xml:space="preserve"> (page 7</w:t>
      </w:r>
      <w:r w:rsidR="006711C8" w:rsidRPr="000E545D">
        <w:rPr>
          <w:rFonts w:cstheme="minorHAnsi"/>
          <w:lang w:val="en"/>
        </w:rPr>
        <w:t>)</w:t>
      </w:r>
      <w:r w:rsidR="00395D9E" w:rsidRPr="000E545D">
        <w:rPr>
          <w:rFonts w:cstheme="minorHAnsi"/>
          <w:lang w:val="en"/>
        </w:rPr>
        <w:t xml:space="preserve">. </w:t>
      </w:r>
    </w:p>
    <w:p w:rsidR="005B7BAC" w:rsidRPr="000E545D" w:rsidRDefault="00395D9E" w:rsidP="000E545D">
      <w:pPr>
        <w:numPr>
          <w:ilvl w:val="0"/>
          <w:numId w:val="3"/>
        </w:numPr>
        <w:tabs>
          <w:tab w:val="num" w:pos="284"/>
        </w:tabs>
        <w:spacing w:after="0"/>
        <w:ind w:left="284" w:hanging="284"/>
        <w:rPr>
          <w:rFonts w:cstheme="minorHAnsi"/>
        </w:rPr>
      </w:pPr>
      <w:r w:rsidRPr="000E545D">
        <w:rPr>
          <w:rFonts w:cstheme="minorHAnsi"/>
        </w:rPr>
        <w:t>Researchers are questioning on ethical grounds routine treatment of pregnant women who are Rhesus D (</w:t>
      </w:r>
      <w:proofErr w:type="spellStart"/>
      <w:r w:rsidRPr="000E545D">
        <w:rPr>
          <w:rFonts w:cstheme="minorHAnsi"/>
        </w:rPr>
        <w:t>RhD</w:t>
      </w:r>
      <w:proofErr w:type="spellEnd"/>
      <w:r w:rsidRPr="000E545D">
        <w:rPr>
          <w:rFonts w:cstheme="minorHAnsi"/>
        </w:rPr>
        <w:t>) negative with Anti D immunoglobulin; now that it is possible to determine foetal blood group by testing the mother’s blood</w:t>
      </w:r>
      <w:r w:rsidR="006711C8" w:rsidRPr="000E545D">
        <w:rPr>
          <w:rFonts w:cstheme="minorHAnsi"/>
        </w:rPr>
        <w:t xml:space="preserve"> (page 7)</w:t>
      </w:r>
      <w:r w:rsidRPr="000E545D">
        <w:rPr>
          <w:rFonts w:cstheme="minorHAnsi"/>
        </w:rPr>
        <w:t>.</w:t>
      </w:r>
    </w:p>
    <w:p w:rsidR="005B7BAC" w:rsidRPr="000E545D" w:rsidRDefault="005B7BAC" w:rsidP="000E545D">
      <w:pPr>
        <w:numPr>
          <w:ilvl w:val="0"/>
          <w:numId w:val="3"/>
        </w:numPr>
        <w:tabs>
          <w:tab w:val="num" w:pos="284"/>
        </w:tabs>
        <w:spacing w:after="0"/>
        <w:ind w:left="284" w:hanging="284"/>
        <w:rPr>
          <w:rFonts w:cstheme="minorHAnsi"/>
        </w:rPr>
      </w:pPr>
      <w:r w:rsidRPr="000E545D">
        <w:rPr>
          <w:rFonts w:cstheme="minorHAnsi"/>
        </w:rPr>
        <w:t>Professor Marc Turner, medical director at the Scottish National Blood Transfusion Service, announced that testing of mature red blood cells made from human induced pluripotent stem cells will begin in 2016</w:t>
      </w:r>
      <w:r w:rsidR="006711C8" w:rsidRPr="000E545D">
        <w:rPr>
          <w:rFonts w:cstheme="minorHAnsi"/>
        </w:rPr>
        <w:t xml:space="preserve"> (page 8)</w:t>
      </w:r>
      <w:r w:rsidRPr="000E545D">
        <w:rPr>
          <w:rFonts w:cstheme="minorHAnsi"/>
        </w:rPr>
        <w:t xml:space="preserve">. </w:t>
      </w:r>
    </w:p>
    <w:p w:rsidR="00BC113C" w:rsidRPr="000E545D" w:rsidRDefault="00BC113C" w:rsidP="000E545D">
      <w:pPr>
        <w:numPr>
          <w:ilvl w:val="0"/>
          <w:numId w:val="3"/>
        </w:numPr>
        <w:tabs>
          <w:tab w:val="num" w:pos="284"/>
        </w:tabs>
        <w:spacing w:after="0"/>
        <w:ind w:left="284" w:hanging="284"/>
        <w:rPr>
          <w:rFonts w:cstheme="minorHAnsi"/>
        </w:rPr>
      </w:pPr>
      <w:r w:rsidRPr="000E545D">
        <w:rPr>
          <w:rFonts w:cstheme="minorHAnsi"/>
        </w:rPr>
        <w:t xml:space="preserve">The World Health Organization (WHO) issued a statement responding to a spike in MERS-CoV cases, admitting </w:t>
      </w:r>
      <w:r w:rsidRPr="000E545D">
        <w:rPr>
          <w:rFonts w:cstheme="minorHAnsi"/>
          <w:lang w:val="en-US"/>
        </w:rPr>
        <w:t xml:space="preserve">“Approximately 75 per cent of the recently reported cases are secondary cases, meaning that they are considered to have acquired the </w:t>
      </w:r>
      <w:r w:rsidRPr="000E545D">
        <w:rPr>
          <w:rStyle w:val="ilad"/>
          <w:rFonts w:cstheme="minorHAnsi"/>
          <w:lang w:val="en-US"/>
        </w:rPr>
        <w:t>infection</w:t>
      </w:r>
      <w:r w:rsidRPr="000E545D">
        <w:rPr>
          <w:rFonts w:cstheme="minorHAnsi"/>
          <w:lang w:val="en-US"/>
        </w:rPr>
        <w:t xml:space="preserve"> from another case through human-to-human </w:t>
      </w:r>
      <w:r w:rsidRPr="000E545D">
        <w:rPr>
          <w:rStyle w:val="ilad"/>
          <w:rFonts w:cstheme="minorHAnsi"/>
          <w:lang w:val="en-US"/>
        </w:rPr>
        <w:t>transmission</w:t>
      </w:r>
      <w:r w:rsidRPr="000E545D">
        <w:rPr>
          <w:rFonts w:cstheme="minorHAnsi"/>
          <w:lang w:val="en-US"/>
        </w:rPr>
        <w:t>”</w:t>
      </w:r>
      <w:r w:rsidR="006711C8" w:rsidRPr="000E545D">
        <w:rPr>
          <w:rFonts w:cstheme="minorHAnsi"/>
          <w:lang w:val="en-US"/>
        </w:rPr>
        <w:t xml:space="preserve"> (page 11).</w:t>
      </w:r>
    </w:p>
    <w:p w:rsidR="00BC113C" w:rsidRPr="000E545D" w:rsidRDefault="008C0B3D" w:rsidP="000E545D">
      <w:pPr>
        <w:numPr>
          <w:ilvl w:val="0"/>
          <w:numId w:val="3"/>
        </w:numPr>
        <w:tabs>
          <w:tab w:val="num" w:pos="284"/>
        </w:tabs>
        <w:spacing w:after="0"/>
        <w:ind w:left="284" w:hanging="284"/>
        <w:rPr>
          <w:rFonts w:cstheme="minorHAnsi"/>
        </w:rPr>
      </w:pPr>
      <w:r w:rsidRPr="000E545D">
        <w:rPr>
          <w:rFonts w:cstheme="minorHAnsi"/>
        </w:rPr>
        <w:t>The emergence of Ebola Virus Disease in Africa remain</w:t>
      </w:r>
      <w:r w:rsidR="006711C8" w:rsidRPr="000E545D">
        <w:rPr>
          <w:rFonts w:cstheme="minorHAnsi"/>
        </w:rPr>
        <w:t>s</w:t>
      </w:r>
      <w:r w:rsidRPr="000E545D">
        <w:rPr>
          <w:rFonts w:cstheme="minorHAnsi"/>
        </w:rPr>
        <w:t xml:space="preserve"> a concern</w:t>
      </w:r>
      <w:r w:rsidR="006711C8" w:rsidRPr="000E545D">
        <w:rPr>
          <w:rFonts w:cstheme="minorHAnsi"/>
        </w:rPr>
        <w:t xml:space="preserve"> (page 11)</w:t>
      </w:r>
      <w:r w:rsidRPr="000E545D">
        <w:rPr>
          <w:rFonts w:cstheme="minorHAnsi"/>
        </w:rPr>
        <w:t>.</w:t>
      </w:r>
    </w:p>
    <w:p w:rsidR="00395D9E" w:rsidRPr="000E545D" w:rsidRDefault="00395D9E" w:rsidP="00395D9E">
      <w:pPr>
        <w:spacing w:line="240" w:lineRule="auto"/>
        <w:rPr>
          <w:rFonts w:cstheme="minorHAnsi"/>
        </w:rPr>
      </w:pPr>
    </w:p>
    <w:p w:rsidR="000E545D" w:rsidRDefault="000E545D">
      <w:pPr>
        <w:rPr>
          <w:rFonts w:cstheme="minorHAnsi"/>
          <w:color w:val="FF0000"/>
        </w:rPr>
      </w:pPr>
      <w:r>
        <w:rPr>
          <w:rFonts w:cstheme="minorHAnsi"/>
          <w:color w:val="FF0000"/>
        </w:rPr>
        <w:br w:type="page"/>
      </w: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0E545D" w:rsidRDefault="00051A93">
          <w:pPr>
            <w:pStyle w:val="TOCHeading"/>
            <w:rPr>
              <w:rFonts w:asciiTheme="minorHAnsi" w:hAnsiTheme="minorHAnsi" w:cstheme="minorHAnsi"/>
            </w:rPr>
          </w:pPr>
          <w:r w:rsidRPr="000E545D">
            <w:rPr>
              <w:rFonts w:asciiTheme="minorHAnsi" w:hAnsiTheme="minorHAnsi" w:cstheme="minorHAnsi"/>
            </w:rPr>
            <w:t>Contents</w:t>
          </w:r>
        </w:p>
        <w:p w:rsidR="006711C8" w:rsidRPr="000E545D" w:rsidRDefault="00051A93">
          <w:pPr>
            <w:pStyle w:val="TOC1"/>
            <w:tabs>
              <w:tab w:val="left" w:pos="440"/>
              <w:tab w:val="right" w:leader="dot" w:pos="9016"/>
            </w:tabs>
            <w:rPr>
              <w:rFonts w:eastAsiaTheme="minorEastAsia" w:cstheme="minorHAnsi"/>
              <w:noProof/>
              <w:lang w:eastAsia="en-AU"/>
            </w:rPr>
          </w:pPr>
          <w:r w:rsidRPr="000E545D">
            <w:rPr>
              <w:rFonts w:cstheme="minorHAnsi"/>
            </w:rPr>
            <w:fldChar w:fldCharType="begin"/>
          </w:r>
          <w:r w:rsidRPr="000E545D">
            <w:rPr>
              <w:rFonts w:cstheme="minorHAnsi"/>
            </w:rPr>
            <w:instrText xml:space="preserve"> TOC \o "1-3" \h \z \u </w:instrText>
          </w:r>
          <w:r w:rsidRPr="000E545D">
            <w:rPr>
              <w:rFonts w:cstheme="minorHAnsi"/>
            </w:rPr>
            <w:fldChar w:fldCharType="separate"/>
          </w:r>
          <w:hyperlink w:anchor="_Toc386454270" w:history="1">
            <w:r w:rsidR="006711C8" w:rsidRPr="000E545D">
              <w:rPr>
                <w:rStyle w:val="Hyperlink"/>
                <w:rFonts w:cstheme="minorHAnsi"/>
                <w:noProof/>
              </w:rPr>
              <w:t>1.</w:t>
            </w:r>
            <w:r w:rsidR="006711C8" w:rsidRPr="000E545D">
              <w:rPr>
                <w:rFonts w:eastAsiaTheme="minorEastAsia" w:cstheme="minorHAnsi"/>
                <w:noProof/>
                <w:lang w:eastAsia="en-AU"/>
              </w:rPr>
              <w:tab/>
            </w:r>
            <w:r w:rsidR="006711C8" w:rsidRPr="000E545D">
              <w:rPr>
                <w:rStyle w:val="Hyperlink"/>
                <w:rFonts w:cstheme="minorHAnsi"/>
                <w:noProof/>
              </w:rPr>
              <w:t>Products</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_Toc386454270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2</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1" w:history="1">
            <w:r w:rsidR="006711C8" w:rsidRPr="000E545D">
              <w:rPr>
                <w:rStyle w:val="Hyperlink"/>
                <w:rFonts w:cstheme="minorHAnsi"/>
                <w:noProof/>
              </w:rPr>
              <w:t>2.</w:t>
            </w:r>
            <w:r w:rsidR="006711C8" w:rsidRPr="000E545D">
              <w:rPr>
                <w:rFonts w:eastAsiaTheme="minorEastAsia" w:cstheme="minorHAnsi"/>
                <w:noProof/>
                <w:lang w:eastAsia="en-AU"/>
              </w:rPr>
              <w:tab/>
            </w:r>
            <w:r w:rsidR="006711C8" w:rsidRPr="000E545D">
              <w:rPr>
                <w:rStyle w:val="Hyperlink"/>
                <w:rFonts w:cstheme="minorHAnsi"/>
                <w:noProof/>
              </w:rPr>
              <w:t>Regulatory</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_Toc386454271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3</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2" w:history="1">
            <w:r w:rsidR="006711C8" w:rsidRPr="000E545D">
              <w:rPr>
                <w:rStyle w:val="Hyperlink"/>
                <w:rFonts w:cstheme="minorHAnsi"/>
                <w:noProof/>
              </w:rPr>
              <w:t>3.</w:t>
            </w:r>
            <w:r w:rsidR="006711C8" w:rsidRPr="000E545D">
              <w:rPr>
                <w:rFonts w:eastAsiaTheme="minorEastAsia" w:cstheme="minorHAnsi"/>
                <w:noProof/>
                <w:lang w:eastAsia="en-AU"/>
              </w:rPr>
              <w:tab/>
            </w:r>
            <w:r w:rsidR="006711C8" w:rsidRPr="000E545D">
              <w:rPr>
                <w:rStyle w:val="Hyperlink"/>
                <w:rFonts w:cstheme="minorHAnsi"/>
                <w:noProof/>
              </w:rPr>
              <w:t>Market structure and company news</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_Toc386454272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4</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3" w:history="1">
            <w:r w:rsidR="006711C8" w:rsidRPr="000E545D">
              <w:rPr>
                <w:rStyle w:val="Hyperlink"/>
                <w:rFonts w:cstheme="minorHAnsi"/>
                <w:noProof/>
              </w:rPr>
              <w:t>4.</w:t>
            </w:r>
            <w:r w:rsidR="006711C8" w:rsidRPr="000E545D">
              <w:rPr>
                <w:rFonts w:eastAsiaTheme="minorEastAsia" w:cstheme="minorHAnsi"/>
                <w:noProof/>
                <w:lang w:eastAsia="en-AU"/>
              </w:rPr>
              <w:tab/>
            </w:r>
            <w:r w:rsidR="006711C8" w:rsidRPr="000E545D">
              <w:rPr>
                <w:rStyle w:val="Hyperlink"/>
                <w:rFonts w:cstheme="minorHAnsi"/>
                <w:noProof/>
              </w:rPr>
              <w:t>Country- specific events</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_Toc386454273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5</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4" w:history="1">
            <w:r w:rsidR="006711C8" w:rsidRPr="000E545D">
              <w:rPr>
                <w:rStyle w:val="Hyperlink"/>
                <w:rFonts w:cstheme="minorHAnsi"/>
                <w:noProof/>
              </w:rPr>
              <w:t>5.</w:t>
            </w:r>
            <w:r w:rsidR="006711C8" w:rsidRPr="000E545D">
              <w:rPr>
                <w:rFonts w:eastAsiaTheme="minorEastAsia" w:cstheme="minorHAnsi"/>
                <w:noProof/>
                <w:lang w:eastAsia="en-AU"/>
              </w:rPr>
              <w:tab/>
            </w:r>
            <w:r w:rsidR="006711C8" w:rsidRPr="000E545D">
              <w:rPr>
                <w:rStyle w:val="Hyperlink"/>
                <w:rFonts w:cstheme="minorHAnsi"/>
                <w:noProof/>
              </w:rPr>
              <w:t>Safety and patient blood management</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_Toc386454274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7</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5" w:history="1">
            <w:r w:rsidR="006711C8" w:rsidRPr="000E545D">
              <w:rPr>
                <w:rStyle w:val="Hyperlink"/>
                <w:rFonts w:cstheme="minorHAnsi"/>
                <w:noProof/>
              </w:rPr>
              <w:t>6.</w:t>
            </w:r>
            <w:r w:rsidR="006711C8" w:rsidRPr="000E545D">
              <w:rPr>
                <w:rFonts w:eastAsiaTheme="minorEastAsia" w:cstheme="minorHAnsi"/>
                <w:noProof/>
                <w:lang w:eastAsia="en-AU"/>
              </w:rPr>
              <w:tab/>
            </w:r>
            <w:r w:rsidR="006711C8" w:rsidRPr="000E545D">
              <w:rPr>
                <w:rStyle w:val="Hyperlink"/>
                <w:rFonts w:cstheme="minorHAnsi"/>
                <w:noProof/>
              </w:rPr>
              <w:t>Research</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_Toc386454275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8</w:t>
            </w:r>
            <w:r w:rsidR="006711C8" w:rsidRPr="000E545D">
              <w:rPr>
                <w:rFonts w:cstheme="minorHAnsi"/>
                <w:noProof/>
                <w:webHidden/>
              </w:rPr>
              <w:fldChar w:fldCharType="end"/>
            </w:r>
          </w:hyperlink>
        </w:p>
        <w:p w:rsidR="006711C8" w:rsidRPr="000E545D" w:rsidRDefault="003A161B">
          <w:pPr>
            <w:pStyle w:val="TOC1"/>
            <w:tabs>
              <w:tab w:val="left" w:pos="440"/>
              <w:tab w:val="right" w:leader="dot" w:pos="9016"/>
            </w:tabs>
            <w:rPr>
              <w:rFonts w:eastAsiaTheme="minorEastAsia" w:cstheme="minorHAnsi"/>
              <w:noProof/>
              <w:lang w:eastAsia="en-AU"/>
            </w:rPr>
          </w:pPr>
          <w:hyperlink w:anchor="_Toc386454276" w:history="1">
            <w:r w:rsidR="006711C8" w:rsidRPr="000E545D">
              <w:rPr>
                <w:rStyle w:val="Hyperlink"/>
                <w:rFonts w:cstheme="minorHAnsi"/>
                <w:noProof/>
              </w:rPr>
              <w:t>7.</w:t>
            </w:r>
            <w:r w:rsidR="006711C8" w:rsidRPr="000E545D">
              <w:rPr>
                <w:rFonts w:eastAsiaTheme="minorEastAsia" w:cstheme="minorHAnsi"/>
                <w:noProof/>
                <w:lang w:eastAsia="en-AU"/>
              </w:rPr>
              <w:tab/>
            </w:r>
            <w:r w:rsidR="006711C8" w:rsidRPr="000E545D">
              <w:rPr>
                <w:rStyle w:val="Hyperlink"/>
                <w:rFonts w:cstheme="minorHAnsi"/>
                <w:noProof/>
              </w:rPr>
              <w:t>Infectious diseases</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_Toc386454276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9</w:t>
            </w:r>
            <w:r w:rsidR="006711C8" w:rsidRPr="000E545D">
              <w:rPr>
                <w:rFonts w:cstheme="minorHAnsi"/>
                <w:noProof/>
                <w:webHidden/>
              </w:rPr>
              <w:fldChar w:fldCharType="end"/>
            </w:r>
          </w:hyperlink>
        </w:p>
        <w:p w:rsidR="006711C8" w:rsidRPr="000E545D" w:rsidRDefault="003A161B">
          <w:pPr>
            <w:pStyle w:val="TOC3"/>
            <w:tabs>
              <w:tab w:val="right" w:leader="dot" w:pos="9016"/>
            </w:tabs>
            <w:rPr>
              <w:rFonts w:eastAsiaTheme="minorEastAsia" w:cstheme="minorHAnsi"/>
              <w:noProof/>
              <w:lang w:eastAsia="en-AU"/>
            </w:rPr>
          </w:pPr>
          <w:hyperlink w:anchor="_Toc386454277" w:history="1">
            <w:r w:rsidR="006711C8" w:rsidRPr="000E545D">
              <w:rPr>
                <w:rStyle w:val="Hyperlink"/>
                <w:rFonts w:cstheme="minorHAnsi"/>
                <w:noProof/>
              </w:rPr>
              <w:t>Mosquito-borne diseases: dengue, chikungunya, zika, and malaria</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_Toc386454277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9</w:t>
            </w:r>
            <w:r w:rsidR="006711C8" w:rsidRPr="000E545D">
              <w:rPr>
                <w:rFonts w:cstheme="minorHAnsi"/>
                <w:noProof/>
                <w:webHidden/>
              </w:rPr>
              <w:fldChar w:fldCharType="end"/>
            </w:r>
          </w:hyperlink>
        </w:p>
        <w:p w:rsidR="006711C8" w:rsidRPr="000E545D" w:rsidRDefault="003A161B">
          <w:pPr>
            <w:pStyle w:val="TOC3"/>
            <w:tabs>
              <w:tab w:val="right" w:leader="dot" w:pos="9016"/>
            </w:tabs>
            <w:rPr>
              <w:rFonts w:eastAsiaTheme="minorEastAsia" w:cstheme="minorHAnsi"/>
              <w:noProof/>
              <w:lang w:eastAsia="en-AU"/>
            </w:rPr>
          </w:pPr>
          <w:hyperlink w:anchor="_Toc386454278" w:history="1">
            <w:r w:rsidR="006711C8" w:rsidRPr="000E545D">
              <w:rPr>
                <w:rStyle w:val="Hyperlink"/>
                <w:rFonts w:cstheme="minorHAnsi"/>
                <w:noProof/>
              </w:rPr>
              <w:t>Influenza: strains, spread, prevention and treatment</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_Toc386454278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11</w:t>
            </w:r>
            <w:r w:rsidR="006711C8" w:rsidRPr="000E545D">
              <w:rPr>
                <w:rFonts w:cstheme="minorHAnsi"/>
                <w:noProof/>
                <w:webHidden/>
              </w:rPr>
              <w:fldChar w:fldCharType="end"/>
            </w:r>
          </w:hyperlink>
        </w:p>
        <w:p w:rsidR="006711C8" w:rsidRPr="000E545D" w:rsidRDefault="003A161B">
          <w:pPr>
            <w:pStyle w:val="TOC3"/>
            <w:tabs>
              <w:tab w:val="right" w:leader="dot" w:pos="9016"/>
            </w:tabs>
            <w:rPr>
              <w:rFonts w:eastAsiaTheme="minorEastAsia" w:cstheme="minorHAnsi"/>
              <w:noProof/>
              <w:lang w:eastAsia="en-AU"/>
            </w:rPr>
          </w:pPr>
          <w:hyperlink w:anchor="_Toc386454279" w:history="1">
            <w:r w:rsidR="006711C8" w:rsidRPr="000E545D">
              <w:rPr>
                <w:rStyle w:val="Hyperlink"/>
                <w:rFonts w:eastAsia="Times New Roman" w:cstheme="minorHAnsi"/>
                <w:noProof/>
              </w:rPr>
              <w:t>MERS-CoV</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_Toc386454279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11</w:t>
            </w:r>
            <w:r w:rsidR="006711C8" w:rsidRPr="000E545D">
              <w:rPr>
                <w:rFonts w:cstheme="minorHAnsi"/>
                <w:noProof/>
                <w:webHidden/>
              </w:rPr>
              <w:fldChar w:fldCharType="end"/>
            </w:r>
          </w:hyperlink>
        </w:p>
        <w:p w:rsidR="006711C8" w:rsidRPr="000E545D" w:rsidRDefault="003A161B">
          <w:pPr>
            <w:pStyle w:val="TOC3"/>
            <w:tabs>
              <w:tab w:val="right" w:leader="dot" w:pos="9016"/>
            </w:tabs>
            <w:rPr>
              <w:rFonts w:eastAsiaTheme="minorEastAsia" w:cstheme="minorHAnsi"/>
              <w:noProof/>
              <w:lang w:eastAsia="en-AU"/>
            </w:rPr>
          </w:pPr>
          <w:hyperlink w:anchor="_Toc386454280" w:history="1">
            <w:r w:rsidR="006711C8" w:rsidRPr="000E545D">
              <w:rPr>
                <w:rStyle w:val="Hyperlink"/>
                <w:rFonts w:eastAsia="Times New Roman" w:cstheme="minorHAnsi"/>
                <w:noProof/>
              </w:rPr>
              <w:t>Ebola Virus Disease (EVD)-originating in West Africa</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_Toc386454280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11</w:t>
            </w:r>
            <w:r w:rsidR="006711C8" w:rsidRPr="000E545D">
              <w:rPr>
                <w:rFonts w:cstheme="minorHAnsi"/>
                <w:noProof/>
                <w:webHidden/>
              </w:rPr>
              <w:fldChar w:fldCharType="end"/>
            </w:r>
          </w:hyperlink>
        </w:p>
        <w:p w:rsidR="006711C8" w:rsidRPr="000E545D" w:rsidRDefault="003A161B">
          <w:pPr>
            <w:pStyle w:val="TOC3"/>
            <w:tabs>
              <w:tab w:val="right" w:leader="dot" w:pos="9016"/>
            </w:tabs>
            <w:rPr>
              <w:rFonts w:eastAsiaTheme="minorEastAsia" w:cstheme="minorHAnsi"/>
              <w:noProof/>
              <w:lang w:eastAsia="en-AU"/>
            </w:rPr>
          </w:pPr>
          <w:hyperlink w:anchor="_Toc386454281" w:history="1">
            <w:r w:rsidR="006711C8" w:rsidRPr="000E545D">
              <w:rPr>
                <w:rStyle w:val="Hyperlink"/>
                <w:rFonts w:cstheme="minorHAnsi"/>
                <w:noProof/>
              </w:rPr>
              <w:t>Other diseases: occurrence, prevention and treatment</w:t>
            </w:r>
            <w:r w:rsidR="006711C8" w:rsidRPr="000E545D">
              <w:rPr>
                <w:rFonts w:cstheme="minorHAnsi"/>
                <w:noProof/>
                <w:webHidden/>
              </w:rPr>
              <w:tab/>
            </w:r>
            <w:r w:rsidR="006711C8" w:rsidRPr="000E545D">
              <w:rPr>
                <w:rFonts w:cstheme="minorHAnsi"/>
                <w:noProof/>
                <w:webHidden/>
              </w:rPr>
              <w:fldChar w:fldCharType="begin"/>
            </w:r>
            <w:r w:rsidR="006711C8" w:rsidRPr="000E545D">
              <w:rPr>
                <w:rFonts w:cstheme="minorHAnsi"/>
                <w:noProof/>
                <w:webHidden/>
              </w:rPr>
              <w:instrText xml:space="preserve"> PAGEREF _Toc386454281 \h </w:instrText>
            </w:r>
            <w:r w:rsidR="006711C8" w:rsidRPr="000E545D">
              <w:rPr>
                <w:rFonts w:cstheme="minorHAnsi"/>
                <w:noProof/>
                <w:webHidden/>
              </w:rPr>
            </w:r>
            <w:r w:rsidR="006711C8" w:rsidRPr="000E545D">
              <w:rPr>
                <w:rFonts w:cstheme="minorHAnsi"/>
                <w:noProof/>
                <w:webHidden/>
              </w:rPr>
              <w:fldChar w:fldCharType="separate"/>
            </w:r>
            <w:r w:rsidR="00457AA6">
              <w:rPr>
                <w:rFonts w:cstheme="minorHAnsi"/>
                <w:noProof/>
                <w:webHidden/>
              </w:rPr>
              <w:t>12</w:t>
            </w:r>
            <w:r w:rsidR="006711C8" w:rsidRPr="000E545D">
              <w:rPr>
                <w:rFonts w:cstheme="minorHAnsi"/>
                <w:noProof/>
                <w:webHidden/>
              </w:rPr>
              <w:fldChar w:fldCharType="end"/>
            </w:r>
          </w:hyperlink>
        </w:p>
        <w:p w:rsidR="00051A93" w:rsidRPr="000E545D" w:rsidRDefault="00051A93">
          <w:pPr>
            <w:rPr>
              <w:rFonts w:cstheme="minorHAnsi"/>
            </w:rPr>
          </w:pPr>
          <w:r w:rsidRPr="000E545D">
            <w:rPr>
              <w:rFonts w:cstheme="minorHAnsi"/>
              <w:b/>
              <w:bCs/>
              <w:noProof/>
            </w:rPr>
            <w:fldChar w:fldCharType="end"/>
          </w:r>
        </w:p>
      </w:sdtContent>
    </w:sdt>
    <w:p w:rsidR="00B25A8D" w:rsidRPr="000E545D" w:rsidRDefault="00B25A8D" w:rsidP="00B25A8D">
      <w:pPr>
        <w:pStyle w:val="Heading1"/>
        <w:numPr>
          <w:ilvl w:val="0"/>
          <w:numId w:val="1"/>
        </w:numPr>
        <w:ind w:left="360"/>
        <w:rPr>
          <w:rFonts w:asciiTheme="minorHAnsi" w:hAnsiTheme="minorHAnsi" w:cstheme="minorHAnsi"/>
          <w:color w:val="FF0000"/>
        </w:rPr>
      </w:pPr>
      <w:bookmarkStart w:id="0" w:name="_Toc363109440"/>
      <w:bookmarkStart w:id="1" w:name="_Toc386454270"/>
      <w:r w:rsidRPr="000E545D">
        <w:rPr>
          <w:rFonts w:asciiTheme="minorHAnsi" w:hAnsiTheme="minorHAnsi" w:cstheme="minorHAnsi"/>
          <w:color w:val="FF0000"/>
        </w:rPr>
        <w:t>Products</w:t>
      </w:r>
      <w:bookmarkEnd w:id="0"/>
      <w:bookmarkEnd w:id="1"/>
    </w:p>
    <w:p w:rsidR="00B25A8D" w:rsidRPr="000E545D" w:rsidRDefault="00B25A8D" w:rsidP="00B25A8D">
      <w:pPr>
        <w:spacing w:line="240" w:lineRule="auto"/>
        <w:rPr>
          <w:rFonts w:cstheme="minorHAnsi"/>
        </w:rPr>
      </w:pPr>
      <w:r w:rsidRPr="000E545D">
        <w:rPr>
          <w:rFonts w:cstheme="minorHAnsi"/>
          <w:i/>
        </w:rPr>
        <w:t xml:space="preserve">Here the NBA follows the progress in research and clinical trials that may within a reasonable timeframe make new products available, or may lead to new uses or changes in use for existing products.  </w:t>
      </w:r>
    </w:p>
    <w:p w:rsidR="00714C81" w:rsidRPr="000E545D" w:rsidRDefault="00D3620F" w:rsidP="000B0BC7">
      <w:pPr>
        <w:pStyle w:val="ListParagraph"/>
        <w:numPr>
          <w:ilvl w:val="1"/>
          <w:numId w:val="13"/>
        </w:numPr>
        <w:spacing w:line="240" w:lineRule="auto"/>
        <w:rPr>
          <w:rFonts w:eastAsia="Times New Roman" w:cstheme="minorHAnsi"/>
        </w:rPr>
      </w:pPr>
      <w:r w:rsidRPr="000E545D">
        <w:rPr>
          <w:rFonts w:eastAsia="Times New Roman" w:cstheme="minorHAnsi"/>
        </w:rPr>
        <w:t xml:space="preserve">Bluebird bio </w:t>
      </w:r>
      <w:r w:rsidRPr="000E545D">
        <w:rPr>
          <w:rFonts w:cstheme="minorHAnsi"/>
        </w:rPr>
        <w:t xml:space="preserve">has begun </w:t>
      </w:r>
      <w:r w:rsidR="006F225C" w:rsidRPr="000E545D">
        <w:rPr>
          <w:rFonts w:cstheme="minorHAnsi"/>
        </w:rPr>
        <w:t xml:space="preserve">US clinical </w:t>
      </w:r>
      <w:r w:rsidRPr="000E545D">
        <w:rPr>
          <w:rFonts w:cstheme="minorHAnsi"/>
        </w:rPr>
        <w:t xml:space="preserve">trials of a modified blood stem cell infusion </w:t>
      </w:r>
      <w:r w:rsidR="006F225C" w:rsidRPr="000E545D">
        <w:rPr>
          <w:rFonts w:cstheme="minorHAnsi"/>
        </w:rPr>
        <w:t xml:space="preserve">it hopes will treat the </w:t>
      </w:r>
      <w:r w:rsidRPr="000E545D">
        <w:rPr>
          <w:rFonts w:cstheme="minorHAnsi"/>
        </w:rPr>
        <w:t xml:space="preserve">inherited blood disorder beta-thalassemia major. The first of a Phase </w:t>
      </w:r>
      <w:r w:rsidR="00714C81" w:rsidRPr="000E545D">
        <w:rPr>
          <w:rFonts w:cstheme="minorHAnsi"/>
        </w:rPr>
        <w:t xml:space="preserve">I/II </w:t>
      </w:r>
      <w:r w:rsidRPr="000E545D">
        <w:rPr>
          <w:rFonts w:cstheme="minorHAnsi"/>
        </w:rPr>
        <w:t xml:space="preserve">trial of just up to 15 patients has received the drug </w:t>
      </w:r>
      <w:proofErr w:type="spellStart"/>
      <w:r w:rsidRPr="000E545D">
        <w:rPr>
          <w:rFonts w:cstheme="minorHAnsi"/>
        </w:rPr>
        <w:t>LentiGlobin</w:t>
      </w:r>
      <w:proofErr w:type="spellEnd"/>
      <w:r w:rsidRPr="000E545D">
        <w:rPr>
          <w:rFonts w:cstheme="minorHAnsi"/>
        </w:rPr>
        <w:t>, or BB305</w:t>
      </w:r>
      <w:r w:rsidR="00714C81" w:rsidRPr="000E545D">
        <w:rPr>
          <w:rFonts w:cstheme="minorHAnsi"/>
        </w:rPr>
        <w:t>.</w:t>
      </w:r>
      <w:r w:rsidRPr="000E545D">
        <w:rPr>
          <w:rFonts w:cstheme="minorHAnsi"/>
        </w:rPr>
        <w:t xml:space="preserve"> </w:t>
      </w:r>
      <w:r w:rsidR="00714C81" w:rsidRPr="000E545D">
        <w:rPr>
          <w:rFonts w:cstheme="minorHAnsi"/>
        </w:rPr>
        <w:t xml:space="preserve">Standard </w:t>
      </w:r>
      <w:r w:rsidRPr="000E545D">
        <w:rPr>
          <w:rFonts w:cstheme="minorHAnsi"/>
        </w:rPr>
        <w:t xml:space="preserve">treatment involves </w:t>
      </w:r>
      <w:r w:rsidR="00714C81" w:rsidRPr="000E545D">
        <w:rPr>
          <w:rFonts w:cstheme="minorHAnsi"/>
        </w:rPr>
        <w:t xml:space="preserve">regular </w:t>
      </w:r>
      <w:r w:rsidRPr="000E545D">
        <w:rPr>
          <w:rFonts w:cstheme="minorHAnsi"/>
        </w:rPr>
        <w:t xml:space="preserve">blood transfusions and </w:t>
      </w:r>
      <w:r w:rsidR="00714C81" w:rsidRPr="000E545D">
        <w:rPr>
          <w:rFonts w:cstheme="minorHAnsi"/>
        </w:rPr>
        <w:t xml:space="preserve">iron chelation therapies, while </w:t>
      </w:r>
      <w:proofErr w:type="spellStart"/>
      <w:r w:rsidRPr="000E545D">
        <w:rPr>
          <w:rFonts w:cstheme="minorHAnsi"/>
        </w:rPr>
        <w:t>LentiGlobin</w:t>
      </w:r>
      <w:proofErr w:type="spellEnd"/>
      <w:r w:rsidRPr="000E545D">
        <w:rPr>
          <w:rFonts w:cstheme="minorHAnsi"/>
        </w:rPr>
        <w:t xml:space="preserve"> is designed to restore </w:t>
      </w:r>
      <w:r w:rsidR="00714C81" w:rsidRPr="000E545D">
        <w:rPr>
          <w:rFonts w:cstheme="minorHAnsi"/>
        </w:rPr>
        <w:t xml:space="preserve">haemoglobin </w:t>
      </w:r>
      <w:r w:rsidRPr="000E545D">
        <w:rPr>
          <w:rFonts w:cstheme="minorHAnsi"/>
        </w:rPr>
        <w:t>production</w:t>
      </w:r>
      <w:r w:rsidR="00714C81" w:rsidRPr="000E545D">
        <w:rPr>
          <w:rFonts w:cstheme="minorHAnsi"/>
        </w:rPr>
        <w:t xml:space="preserve">. </w:t>
      </w:r>
      <w:r w:rsidRPr="000E545D">
        <w:rPr>
          <w:rFonts w:cstheme="minorHAnsi"/>
        </w:rPr>
        <w:t>A trial</w:t>
      </w:r>
      <w:r w:rsidR="00714C81" w:rsidRPr="000E545D">
        <w:rPr>
          <w:rFonts w:cstheme="minorHAnsi"/>
        </w:rPr>
        <w:t xml:space="preserve"> in </w:t>
      </w:r>
      <w:r w:rsidRPr="000E545D">
        <w:rPr>
          <w:rFonts w:cstheme="minorHAnsi"/>
        </w:rPr>
        <w:t>seven patients with both beta-thalassemi</w:t>
      </w:r>
      <w:r w:rsidR="00714C81" w:rsidRPr="000E545D">
        <w:rPr>
          <w:rFonts w:cstheme="minorHAnsi"/>
        </w:rPr>
        <w:t>a major and sickle cell disease was i</w:t>
      </w:r>
      <w:bookmarkStart w:id="2" w:name="_Toc386006016"/>
      <w:r w:rsidR="00714C81" w:rsidRPr="000E545D">
        <w:rPr>
          <w:rFonts w:cstheme="minorHAnsi"/>
        </w:rPr>
        <w:t>nitiated in France in December.</w:t>
      </w:r>
    </w:p>
    <w:bookmarkEnd w:id="2"/>
    <w:p w:rsidR="00A90ABD" w:rsidRPr="000E545D" w:rsidRDefault="00714C81" w:rsidP="003B345B">
      <w:pPr>
        <w:pStyle w:val="ListParagraph"/>
        <w:numPr>
          <w:ilvl w:val="1"/>
          <w:numId w:val="13"/>
        </w:numPr>
        <w:spacing w:line="240" w:lineRule="auto"/>
        <w:rPr>
          <w:rFonts w:eastAsia="Times New Roman" w:cstheme="minorHAnsi"/>
        </w:rPr>
      </w:pPr>
      <w:r w:rsidRPr="000E545D">
        <w:rPr>
          <w:rFonts w:cstheme="minorHAnsi"/>
        </w:rPr>
        <w:t xml:space="preserve">Israel-based </w:t>
      </w:r>
      <w:proofErr w:type="spellStart"/>
      <w:r w:rsidRPr="000E545D">
        <w:rPr>
          <w:rFonts w:cstheme="minorHAnsi"/>
        </w:rPr>
        <w:t>Kamada’s</w:t>
      </w:r>
      <w:proofErr w:type="spellEnd"/>
      <w:r w:rsidRPr="000E545D">
        <w:rPr>
          <w:rFonts w:cstheme="minorHAnsi"/>
        </w:rPr>
        <w:t xml:space="preserve"> </w:t>
      </w:r>
      <w:r w:rsidR="00FE6465" w:rsidRPr="000E545D">
        <w:rPr>
          <w:rFonts w:cstheme="minorHAnsi"/>
        </w:rPr>
        <w:t>drug Alpha-1 Antitrypsin (AAT)</w:t>
      </w:r>
      <w:r w:rsidRPr="000E545D">
        <w:rPr>
          <w:rFonts w:cstheme="minorHAnsi"/>
        </w:rPr>
        <w:t xml:space="preserve"> </w:t>
      </w:r>
      <w:r w:rsidR="00FE6465" w:rsidRPr="000E545D">
        <w:rPr>
          <w:rFonts w:cstheme="minorHAnsi"/>
        </w:rPr>
        <w:t>will be tested in a new round of clinical trials for </w:t>
      </w:r>
      <w:hyperlink r:id="rId9" w:tgtFrame="_blank" w:history="1">
        <w:r w:rsidR="00FE6465" w:rsidRPr="000E545D">
          <w:rPr>
            <w:rStyle w:val="Strong"/>
            <w:rFonts w:cstheme="minorHAnsi"/>
            <w:b w:val="0"/>
          </w:rPr>
          <w:t>cystic fibrosis</w:t>
        </w:r>
      </w:hyperlink>
      <w:r w:rsidR="006143BB" w:rsidRPr="000E545D">
        <w:rPr>
          <w:rStyle w:val="Strong"/>
          <w:rFonts w:cstheme="minorHAnsi"/>
          <w:b w:val="0"/>
        </w:rPr>
        <w:t xml:space="preserve"> in the second half of 2014</w:t>
      </w:r>
      <w:r w:rsidRPr="000E545D">
        <w:rPr>
          <w:rStyle w:val="Strong"/>
          <w:rFonts w:cstheme="minorHAnsi"/>
          <w:b w:val="0"/>
        </w:rPr>
        <w:t xml:space="preserve">. Meanwhile an AAT trial for AAT Deficiency, evaluating the safety and efficacy of the inhalable version of the drug in a </w:t>
      </w:r>
      <w:r w:rsidRPr="000E545D">
        <w:rPr>
          <w:rFonts w:cstheme="minorHAnsi"/>
        </w:rPr>
        <w:t>double-blind, placebo-controlled study</w:t>
      </w:r>
      <w:r w:rsidR="006143BB" w:rsidRPr="000E545D">
        <w:rPr>
          <w:rFonts w:cstheme="minorHAnsi"/>
        </w:rPr>
        <w:t>, should be ready to report top-line data by May.</w:t>
      </w:r>
    </w:p>
    <w:p w:rsidR="00B25A8D" w:rsidRPr="000E545D" w:rsidRDefault="00FE6465" w:rsidP="003B345B">
      <w:pPr>
        <w:pStyle w:val="ListParagraph"/>
        <w:numPr>
          <w:ilvl w:val="1"/>
          <w:numId w:val="13"/>
        </w:numPr>
        <w:spacing w:line="240" w:lineRule="auto"/>
        <w:rPr>
          <w:rFonts w:eastAsia="Times New Roman" w:cstheme="minorHAnsi"/>
        </w:rPr>
      </w:pPr>
      <w:r w:rsidRPr="000E545D">
        <w:rPr>
          <w:rFonts w:cstheme="minorHAnsi"/>
        </w:rPr>
        <w:t xml:space="preserve">Emmaus Life Sciences </w:t>
      </w:r>
      <w:r w:rsidR="006E3F73" w:rsidRPr="000E545D">
        <w:rPr>
          <w:rFonts w:cstheme="minorHAnsi"/>
        </w:rPr>
        <w:t xml:space="preserve">reported that </w:t>
      </w:r>
      <w:r w:rsidRPr="000E545D">
        <w:rPr>
          <w:rFonts w:cstheme="minorHAnsi"/>
        </w:rPr>
        <w:t xml:space="preserve">preliminary top-line results of its Phase </w:t>
      </w:r>
      <w:r w:rsidR="006E3F73" w:rsidRPr="000E545D">
        <w:rPr>
          <w:rFonts w:cstheme="minorHAnsi"/>
        </w:rPr>
        <w:t>III</w:t>
      </w:r>
      <w:r w:rsidRPr="000E545D">
        <w:rPr>
          <w:rFonts w:cstheme="minorHAnsi"/>
        </w:rPr>
        <w:t xml:space="preserve"> clinical trial evaluating the safety and efficacy of its treatment for sickle cell an</w:t>
      </w:r>
      <w:r w:rsidR="006E3F73" w:rsidRPr="000E545D">
        <w:rPr>
          <w:rFonts w:cstheme="minorHAnsi"/>
        </w:rPr>
        <w:t>a</w:t>
      </w:r>
      <w:r w:rsidRPr="000E545D">
        <w:rPr>
          <w:rFonts w:cstheme="minorHAnsi"/>
        </w:rPr>
        <w:t>emia and sickle beta-0 thalassemia met both primary and secondary endpoints</w:t>
      </w:r>
      <w:r w:rsidR="006E3F73" w:rsidRPr="000E545D">
        <w:rPr>
          <w:rFonts w:cstheme="minorHAnsi"/>
        </w:rPr>
        <w:t xml:space="preserve">. The trial enrolled 230 patients aged from 5 years upwards. The randomized, double-blind, placebo-controlled trial suggested a significant reduction </w:t>
      </w:r>
      <w:r w:rsidRPr="000E545D">
        <w:rPr>
          <w:rFonts w:cstheme="minorHAnsi"/>
        </w:rPr>
        <w:t>in the median frequency of sickle cell crises over a 48-week period</w:t>
      </w:r>
      <w:r w:rsidR="00A90ABD" w:rsidRPr="000E545D">
        <w:rPr>
          <w:rFonts w:cstheme="minorHAnsi"/>
        </w:rPr>
        <w:t xml:space="preserve"> and a</w:t>
      </w:r>
      <w:r w:rsidRPr="000E545D">
        <w:rPr>
          <w:rFonts w:cstheme="minorHAnsi"/>
        </w:rPr>
        <w:t xml:space="preserve"> statistically significant reduction in the median frequency of hospitalizations over a 48-week time period. </w:t>
      </w:r>
      <w:r w:rsidR="00A90ABD" w:rsidRPr="000E545D">
        <w:rPr>
          <w:rFonts w:cstheme="minorHAnsi"/>
        </w:rPr>
        <w:t xml:space="preserve">The company intends </w:t>
      </w:r>
      <w:r w:rsidRPr="000E545D">
        <w:rPr>
          <w:rFonts w:cstheme="minorHAnsi"/>
        </w:rPr>
        <w:t>to submit a New Drug Application to the FDA in mid-2014 for marketing approval</w:t>
      </w:r>
      <w:r w:rsidR="00A90ABD" w:rsidRPr="000E545D">
        <w:rPr>
          <w:rFonts w:cstheme="minorHAnsi"/>
        </w:rPr>
        <w:t xml:space="preserve">. The treatment </w:t>
      </w:r>
      <w:r w:rsidRPr="000E545D">
        <w:rPr>
          <w:rFonts w:cstheme="minorHAnsi"/>
        </w:rPr>
        <w:t xml:space="preserve">has </w:t>
      </w:r>
      <w:r w:rsidR="00A90ABD" w:rsidRPr="000E545D">
        <w:rPr>
          <w:rFonts w:cstheme="minorHAnsi"/>
        </w:rPr>
        <w:t>o</w:t>
      </w:r>
      <w:r w:rsidRPr="000E545D">
        <w:rPr>
          <w:rFonts w:cstheme="minorHAnsi"/>
        </w:rPr>
        <w:t xml:space="preserve">rphan </w:t>
      </w:r>
      <w:r w:rsidR="00A90ABD" w:rsidRPr="000E545D">
        <w:rPr>
          <w:rFonts w:cstheme="minorHAnsi"/>
        </w:rPr>
        <w:t>d</w:t>
      </w:r>
      <w:r w:rsidRPr="000E545D">
        <w:rPr>
          <w:rFonts w:cstheme="minorHAnsi"/>
        </w:rPr>
        <w:t>rug designation in the U</w:t>
      </w:r>
      <w:r w:rsidR="00A90ABD" w:rsidRPr="000E545D">
        <w:rPr>
          <w:rFonts w:cstheme="minorHAnsi"/>
        </w:rPr>
        <w:t>S</w:t>
      </w:r>
      <w:r w:rsidRPr="000E545D">
        <w:rPr>
          <w:rFonts w:cstheme="minorHAnsi"/>
        </w:rPr>
        <w:t xml:space="preserve"> and Europe, and </w:t>
      </w:r>
      <w:r w:rsidR="00A90ABD" w:rsidRPr="000E545D">
        <w:rPr>
          <w:rFonts w:cstheme="minorHAnsi"/>
        </w:rPr>
        <w:t>fast t</w:t>
      </w:r>
      <w:r w:rsidRPr="000E545D">
        <w:rPr>
          <w:rFonts w:cstheme="minorHAnsi"/>
        </w:rPr>
        <w:t xml:space="preserve">rack designation from the FDA. </w:t>
      </w:r>
    </w:p>
    <w:p w:rsidR="00B25A8D" w:rsidRPr="000E545D" w:rsidRDefault="00B25A8D" w:rsidP="00B25A8D">
      <w:pPr>
        <w:pStyle w:val="Heading1"/>
        <w:numPr>
          <w:ilvl w:val="0"/>
          <w:numId w:val="1"/>
        </w:numPr>
        <w:ind w:left="360"/>
        <w:rPr>
          <w:rFonts w:asciiTheme="minorHAnsi" w:hAnsiTheme="minorHAnsi" w:cstheme="minorHAnsi"/>
          <w:color w:val="FF0000"/>
        </w:rPr>
      </w:pPr>
      <w:bookmarkStart w:id="3" w:name="_Toc363109450"/>
      <w:bookmarkStart w:id="4" w:name="_Toc386454271"/>
      <w:r w:rsidRPr="000E545D">
        <w:rPr>
          <w:rFonts w:asciiTheme="minorHAnsi" w:hAnsiTheme="minorHAnsi" w:cstheme="minorHAnsi"/>
          <w:color w:val="FF0000"/>
        </w:rPr>
        <w:lastRenderedPageBreak/>
        <w:t>Regulatory</w:t>
      </w:r>
      <w:bookmarkEnd w:id="3"/>
      <w:bookmarkEnd w:id="4"/>
    </w:p>
    <w:p w:rsidR="00B25A8D" w:rsidRPr="000E545D" w:rsidRDefault="00B25A8D" w:rsidP="00B25A8D">
      <w:pPr>
        <w:spacing w:line="240" w:lineRule="auto"/>
        <w:rPr>
          <w:rFonts w:cstheme="minorHAnsi"/>
          <w:i/>
        </w:rPr>
      </w:pPr>
      <w:r w:rsidRPr="000E545D">
        <w:rPr>
          <w:rFonts w:cstheme="minorHAnsi"/>
          <w:i/>
        </w:rPr>
        <w:t>The NBA monitors overseas regulatory decisions on products, processes or procedures which are or may be of relevance to its responsibilities.</w:t>
      </w:r>
    </w:p>
    <w:p w:rsidR="00D5724D" w:rsidRPr="000E545D" w:rsidRDefault="00D5724D" w:rsidP="003B345B">
      <w:pPr>
        <w:pStyle w:val="ListParagraph"/>
        <w:numPr>
          <w:ilvl w:val="1"/>
          <w:numId w:val="20"/>
        </w:numPr>
        <w:spacing w:line="240" w:lineRule="auto"/>
        <w:rPr>
          <w:rFonts w:cstheme="minorHAnsi"/>
        </w:rPr>
      </w:pPr>
      <w:r w:rsidRPr="000E545D">
        <w:rPr>
          <w:rFonts w:cstheme="minorHAnsi"/>
        </w:rPr>
        <w:t>Swedish Orphan Biovitrum (</w:t>
      </w:r>
      <w:proofErr w:type="spellStart"/>
      <w:r w:rsidRPr="000E545D">
        <w:rPr>
          <w:rFonts w:cstheme="minorHAnsi"/>
        </w:rPr>
        <w:t>Sobi</w:t>
      </w:r>
      <w:proofErr w:type="spellEnd"/>
      <w:r w:rsidRPr="000E545D">
        <w:rPr>
          <w:rFonts w:cstheme="minorHAnsi"/>
        </w:rPr>
        <w:t>) and its partner Biogen Idec announced on 21 March that Health Canada had approved Alprolix (a bioengineered version of blood coagulation factor IX, Fc fusion protein), rFIXFc, for the control and prevention of bleeding episodes and for prophylaxis in patients aged 12 and older, with haemophilia B</w:t>
      </w:r>
      <w:r w:rsidR="00F00A13" w:rsidRPr="000E545D">
        <w:rPr>
          <w:rStyle w:val="FootnoteReference"/>
          <w:rFonts w:cstheme="minorHAnsi"/>
        </w:rPr>
        <w:footnoteReference w:id="2"/>
      </w:r>
      <w:r w:rsidR="004D3397" w:rsidRPr="000E545D">
        <w:rPr>
          <w:rFonts w:cstheme="minorHAnsi"/>
        </w:rPr>
        <w:t xml:space="preserve">. </w:t>
      </w:r>
      <w:r w:rsidRPr="000E545D">
        <w:rPr>
          <w:rFonts w:cstheme="minorHAnsi"/>
        </w:rPr>
        <w:t>Alprolix is the first approved long-acting haemophilia B therapy and is indicated to prevent or reduce the frequency of bleeding episodes with prophylactic treatment scheduled once weekly or once every 10-14 days, rather than two or three times weekly as with current treatments. This was</w:t>
      </w:r>
      <w:r w:rsidR="004D3397" w:rsidRPr="000E545D">
        <w:rPr>
          <w:rFonts w:cstheme="minorHAnsi"/>
        </w:rPr>
        <w:t xml:space="preserve"> </w:t>
      </w:r>
      <w:r w:rsidRPr="000E545D">
        <w:rPr>
          <w:rFonts w:cstheme="minorHAnsi"/>
        </w:rPr>
        <w:t>the first regulatory approval worldwide for Alprolix, which was also under review by regulatory authorities in several other countries, including the United States, Australia and Japan. A week after the Canadian approval, Alprolix received approval from the US Food and Drug Administration (FDA). Thomson Reuters estimates that Alprolix may generate sales of about $</w:t>
      </w:r>
      <w:proofErr w:type="gramStart"/>
      <w:r w:rsidRPr="000E545D">
        <w:rPr>
          <w:rFonts w:cstheme="minorHAnsi"/>
        </w:rPr>
        <w:t>US</w:t>
      </w:r>
      <w:proofErr w:type="gramEnd"/>
      <w:r w:rsidRPr="000E545D">
        <w:rPr>
          <w:rFonts w:cstheme="minorHAnsi"/>
        </w:rPr>
        <w:t xml:space="preserve"> 286 million annually by 2019 and </w:t>
      </w:r>
      <w:proofErr w:type="spellStart"/>
      <w:r w:rsidRPr="000E545D">
        <w:rPr>
          <w:rFonts w:cstheme="minorHAnsi"/>
        </w:rPr>
        <w:t>Eloctate</w:t>
      </w:r>
      <w:proofErr w:type="spellEnd"/>
      <w:r w:rsidRPr="000E545D">
        <w:rPr>
          <w:rFonts w:cstheme="minorHAnsi"/>
        </w:rPr>
        <w:t>, a FVIII product being developed by the same partnership, may generate $1.1 billion annually.</w:t>
      </w:r>
      <w:r w:rsidR="00F00A13" w:rsidRPr="000E545D">
        <w:rPr>
          <w:rFonts w:cstheme="minorHAnsi"/>
        </w:rPr>
        <w:t xml:space="preserve"> Before filing for EU approval, the partners need to complete paediatric trials, a phase III study called Kids B-LONG.</w:t>
      </w:r>
    </w:p>
    <w:p w:rsidR="00B25A8D" w:rsidRPr="000E545D" w:rsidRDefault="0068189D" w:rsidP="003B345B">
      <w:pPr>
        <w:pStyle w:val="ListParagraph"/>
        <w:numPr>
          <w:ilvl w:val="1"/>
          <w:numId w:val="20"/>
        </w:numPr>
        <w:spacing w:line="240" w:lineRule="auto"/>
        <w:rPr>
          <w:rFonts w:cstheme="minorHAnsi"/>
          <w:color w:val="FF0000"/>
        </w:rPr>
      </w:pPr>
      <w:proofErr w:type="spellStart"/>
      <w:r w:rsidRPr="000E545D">
        <w:rPr>
          <w:rFonts w:cstheme="minorHAnsi"/>
        </w:rPr>
        <w:t>Fenwal</w:t>
      </w:r>
      <w:proofErr w:type="spellEnd"/>
      <w:r w:rsidRPr="000E545D">
        <w:rPr>
          <w:rFonts w:cstheme="minorHAnsi"/>
        </w:rPr>
        <w:t xml:space="preserve">, a Fresenius </w:t>
      </w:r>
      <w:proofErr w:type="spellStart"/>
      <w:r w:rsidRPr="000E545D">
        <w:rPr>
          <w:rFonts w:cstheme="minorHAnsi"/>
        </w:rPr>
        <w:t>Kabi</w:t>
      </w:r>
      <w:proofErr w:type="spellEnd"/>
      <w:r w:rsidRPr="000E545D">
        <w:rPr>
          <w:rFonts w:cstheme="minorHAnsi"/>
        </w:rPr>
        <w:t xml:space="preserve"> company, received FDA approval to include new clinical data in the product label of its platele</w:t>
      </w:r>
      <w:r w:rsidR="003A161B">
        <w:rPr>
          <w:rFonts w:cstheme="minorHAnsi"/>
        </w:rPr>
        <w:t xml:space="preserve">t additive solution, </w:t>
      </w:r>
      <w:proofErr w:type="spellStart"/>
      <w:r w:rsidR="003A161B">
        <w:rPr>
          <w:rFonts w:cstheme="minorHAnsi"/>
        </w:rPr>
        <w:t>InterSol</w:t>
      </w:r>
      <w:proofErr w:type="spellEnd"/>
      <w:r w:rsidR="003A161B">
        <w:rPr>
          <w:rFonts w:cstheme="minorHAnsi"/>
        </w:rPr>
        <w:t xml:space="preserve">. </w:t>
      </w:r>
      <w:r w:rsidRPr="000E545D">
        <w:rPr>
          <w:rFonts w:cstheme="minorHAnsi"/>
        </w:rPr>
        <w:t xml:space="preserve">A </w:t>
      </w:r>
      <w:r w:rsidR="00D93B47" w:rsidRPr="000E545D">
        <w:rPr>
          <w:rFonts w:cstheme="minorHAnsi"/>
        </w:rPr>
        <w:t xml:space="preserve">medical chart review of </w:t>
      </w:r>
      <w:r w:rsidRPr="000E545D">
        <w:rPr>
          <w:rFonts w:cstheme="minorHAnsi"/>
        </w:rPr>
        <w:t xml:space="preserve">14,000 transfusions examined at adverse events from platelet transfusion, with and without the additive solution. The review found platelet transfusions using  </w:t>
      </w:r>
      <w:proofErr w:type="spellStart"/>
      <w:r w:rsidRPr="000E545D">
        <w:rPr>
          <w:rFonts w:cstheme="minorHAnsi"/>
        </w:rPr>
        <w:t>InterSol</w:t>
      </w:r>
      <w:proofErr w:type="spellEnd"/>
      <w:r w:rsidRPr="000E545D">
        <w:rPr>
          <w:rFonts w:cstheme="minorHAnsi"/>
        </w:rPr>
        <w:t xml:space="preserve"> led to a 0.55 per cent adverse event reaction rate, while transfusions using plasma platelets led to a 1.37 percent adverse event reaction rate.</w:t>
      </w:r>
    </w:p>
    <w:p w:rsidR="000E545D" w:rsidRDefault="008F2E95" w:rsidP="000B0BC7">
      <w:pPr>
        <w:pStyle w:val="ListParagraph"/>
        <w:numPr>
          <w:ilvl w:val="1"/>
          <w:numId w:val="13"/>
        </w:numPr>
        <w:spacing w:line="240" w:lineRule="auto"/>
        <w:rPr>
          <w:rFonts w:cstheme="minorHAnsi"/>
        </w:rPr>
      </w:pPr>
      <w:bookmarkStart w:id="5" w:name="_Toc384284963"/>
      <w:r w:rsidRPr="000E545D">
        <w:rPr>
          <w:rFonts w:cstheme="minorHAnsi"/>
        </w:rPr>
        <w:t xml:space="preserve">The FDA’s Blood Products Advisory Committee (BPAC) unanimously voted to recommend approval of </w:t>
      </w:r>
      <w:proofErr w:type="spellStart"/>
      <w:r w:rsidRPr="000E545D">
        <w:rPr>
          <w:rFonts w:cstheme="minorHAnsi"/>
        </w:rPr>
        <w:t>Immucor's</w:t>
      </w:r>
      <w:proofErr w:type="spellEnd"/>
      <w:r w:rsidRPr="000E545D">
        <w:rPr>
          <w:rFonts w:cstheme="minorHAnsi"/>
        </w:rPr>
        <w:t xml:space="preserve"> HEA Molecular </w:t>
      </w:r>
      <w:proofErr w:type="spellStart"/>
      <w:r w:rsidRPr="000E545D">
        <w:rPr>
          <w:rFonts w:cstheme="minorHAnsi"/>
        </w:rPr>
        <w:t>BeadChip</w:t>
      </w:r>
      <w:proofErr w:type="spellEnd"/>
      <w:r w:rsidRPr="000E545D">
        <w:rPr>
          <w:rFonts w:cstheme="minorHAnsi"/>
        </w:rPr>
        <w:t xml:space="preserve"> Test as safe and effective for the molecular typing of human erythrocyte antigen (HEA) phenotypes in 35 blood group systems</w:t>
      </w:r>
      <w:r w:rsidRPr="000E545D">
        <w:rPr>
          <w:rStyle w:val="FootnoteReference"/>
          <w:rFonts w:cstheme="minorHAnsi"/>
        </w:rPr>
        <w:footnoteReference w:id="3"/>
      </w:r>
      <w:r w:rsidRPr="000E545D">
        <w:rPr>
          <w:rFonts w:cstheme="minorHAnsi"/>
        </w:rPr>
        <w:t xml:space="preserve">. The test received the CE Mark in July 2010 and is commercially available in Europe and other international markets, but in the US is available for Research Use Only. More than 700,000 tests have been processed with </w:t>
      </w:r>
      <w:proofErr w:type="spellStart"/>
      <w:r w:rsidRPr="000E545D">
        <w:rPr>
          <w:rFonts w:cstheme="minorHAnsi"/>
        </w:rPr>
        <w:t>Immucor's</w:t>
      </w:r>
      <w:proofErr w:type="spellEnd"/>
      <w:r w:rsidRPr="000E545D">
        <w:rPr>
          <w:rFonts w:cstheme="minorHAnsi"/>
        </w:rPr>
        <w:t xml:space="preserve"> HEA assay </w:t>
      </w:r>
      <w:proofErr w:type="spellStart"/>
      <w:r w:rsidRPr="000E545D">
        <w:rPr>
          <w:rFonts w:cstheme="minorHAnsi"/>
        </w:rPr>
        <w:t>worldwide.The</w:t>
      </w:r>
      <w:proofErr w:type="spellEnd"/>
      <w:r w:rsidRPr="000E545D">
        <w:rPr>
          <w:rFonts w:cstheme="minorHAnsi"/>
        </w:rPr>
        <w:t xml:space="preserve"> FDA will take into account the BPAC's advice in making its decision on whether to approve the HEA </w:t>
      </w:r>
      <w:proofErr w:type="spellStart"/>
      <w:r w:rsidRPr="000E545D">
        <w:rPr>
          <w:rFonts w:cstheme="minorHAnsi"/>
        </w:rPr>
        <w:t>BeadChip</w:t>
      </w:r>
      <w:proofErr w:type="spellEnd"/>
      <w:r w:rsidRPr="000E545D">
        <w:rPr>
          <w:rFonts w:cstheme="minorHAnsi"/>
        </w:rPr>
        <w:t xml:space="preserve"> Test for blood group typing in the US. A decision is expected later this year. </w:t>
      </w:r>
      <w:bookmarkEnd w:id="5"/>
    </w:p>
    <w:p w:rsidR="000E545D" w:rsidRDefault="000E545D">
      <w:pPr>
        <w:rPr>
          <w:rFonts w:cstheme="minorHAnsi"/>
        </w:rPr>
      </w:pPr>
      <w:r>
        <w:rPr>
          <w:rFonts w:cstheme="minorHAnsi"/>
        </w:rPr>
        <w:br w:type="page"/>
      </w:r>
    </w:p>
    <w:p w:rsidR="00B25A8D" w:rsidRPr="000E545D" w:rsidRDefault="00B25A8D" w:rsidP="00B25A8D">
      <w:pPr>
        <w:pStyle w:val="Heading1"/>
        <w:numPr>
          <w:ilvl w:val="0"/>
          <w:numId w:val="1"/>
        </w:numPr>
        <w:ind w:left="360"/>
        <w:rPr>
          <w:rFonts w:asciiTheme="minorHAnsi" w:hAnsiTheme="minorHAnsi" w:cstheme="minorHAnsi"/>
          <w:color w:val="FF0000"/>
        </w:rPr>
      </w:pPr>
      <w:bookmarkStart w:id="6" w:name="_Toc363109455"/>
      <w:bookmarkStart w:id="7" w:name="_Toc386454272"/>
      <w:r w:rsidRPr="000E545D">
        <w:rPr>
          <w:rFonts w:asciiTheme="minorHAnsi" w:hAnsiTheme="minorHAnsi" w:cstheme="minorHAnsi"/>
          <w:color w:val="FF0000"/>
        </w:rPr>
        <w:lastRenderedPageBreak/>
        <w:t>Market structure and company news</w:t>
      </w:r>
      <w:bookmarkEnd w:id="6"/>
      <w:bookmarkEnd w:id="7"/>
    </w:p>
    <w:p w:rsidR="00DD7283" w:rsidRPr="000E545D" w:rsidRDefault="00B25A8D" w:rsidP="00457AA6">
      <w:pPr>
        <w:spacing w:line="240" w:lineRule="auto"/>
        <w:rPr>
          <w:rFonts w:cstheme="minorHAnsi"/>
          <w:color w:val="FF0000"/>
        </w:rPr>
      </w:pPr>
      <w:r w:rsidRPr="000E545D">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240133" w:rsidRPr="000E545D" w:rsidRDefault="00DD7283" w:rsidP="003B345B">
      <w:pPr>
        <w:pStyle w:val="ListParagraph"/>
        <w:numPr>
          <w:ilvl w:val="1"/>
          <w:numId w:val="10"/>
        </w:numPr>
        <w:spacing w:line="240" w:lineRule="auto"/>
        <w:rPr>
          <w:rFonts w:cstheme="minorHAnsi"/>
          <w:color w:val="FF0000"/>
        </w:rPr>
      </w:pPr>
      <w:r w:rsidRPr="000E545D">
        <w:rPr>
          <w:rFonts w:cstheme="minorHAnsi"/>
        </w:rPr>
        <w:t>CSL won the award for top listed Australian company at the Corporate Performance Awards in Sydney. Fund managers approved of its wise choice of acquisitions and its dominance over its competitors. CSL’s market capitalisation increased from $20 billion five years ago, to $34 billion currently. Sales increased from $3.8 billion in 2008 to $5.5 billion in 2013, while earnings per share rose 54 per cent, attributable to rising profits and share buybacks</w:t>
      </w:r>
      <w:r w:rsidRPr="000E545D">
        <w:rPr>
          <w:rStyle w:val="FootnoteReference"/>
          <w:rFonts w:cstheme="minorHAnsi"/>
        </w:rPr>
        <w:footnoteReference w:id="4"/>
      </w:r>
      <w:r w:rsidRPr="000E545D">
        <w:rPr>
          <w:rFonts w:cstheme="minorHAnsi"/>
        </w:rPr>
        <w:t xml:space="preserve">. Shareholders have earned an average annual return of 28.5 </w:t>
      </w:r>
      <w:r w:rsidR="003A161B" w:rsidRPr="000E545D">
        <w:rPr>
          <w:rFonts w:cstheme="minorHAnsi"/>
        </w:rPr>
        <w:t>per</w:t>
      </w:r>
      <w:r w:rsidRPr="000E545D">
        <w:rPr>
          <w:rFonts w:cstheme="minorHAnsi"/>
        </w:rPr>
        <w:t xml:space="preserve"> cent over the last decade. The CEO Paul </w:t>
      </w:r>
      <w:proofErr w:type="spellStart"/>
      <w:r w:rsidRPr="000E545D">
        <w:rPr>
          <w:rFonts w:cstheme="minorHAnsi"/>
        </w:rPr>
        <w:t>Perreault</w:t>
      </w:r>
      <w:proofErr w:type="spellEnd"/>
      <w:r w:rsidRPr="000E545D">
        <w:rPr>
          <w:rFonts w:cstheme="minorHAnsi"/>
        </w:rPr>
        <w:t xml:space="preserve"> attributes CSL’s success to “international expansion, clear strategy and focused approach”. He said the company “has affiliates in close to 30 countries, and there is still plenty of room for the company to grow both in developed and emerging markets”. </w:t>
      </w:r>
    </w:p>
    <w:p w:rsidR="00240133" w:rsidRPr="000E545D" w:rsidRDefault="00240133" w:rsidP="003B345B">
      <w:pPr>
        <w:pStyle w:val="ListParagraph"/>
        <w:numPr>
          <w:ilvl w:val="1"/>
          <w:numId w:val="10"/>
        </w:numPr>
        <w:spacing w:line="240" w:lineRule="auto"/>
        <w:rPr>
          <w:rFonts w:cstheme="minorHAnsi"/>
        </w:rPr>
      </w:pPr>
      <w:r w:rsidRPr="000E545D">
        <w:rPr>
          <w:rFonts w:cstheme="minorHAnsi"/>
        </w:rPr>
        <w:t xml:space="preserve">Anthony Farina, a former journalist who led global public affairs at DuPont, has moved to CSL Limited as vice president of communications and corporate affairs. Farina is based in King of Prussia, Pennsylvania. He was previously in the Delaware statehouse, as press secretary and executive director of communications for Gov. Tom </w:t>
      </w:r>
      <w:proofErr w:type="spellStart"/>
      <w:r w:rsidRPr="000E545D">
        <w:rPr>
          <w:rFonts w:cstheme="minorHAnsi"/>
        </w:rPr>
        <w:t>Carper</w:t>
      </w:r>
      <w:proofErr w:type="spellEnd"/>
      <w:r w:rsidRPr="000E545D">
        <w:rPr>
          <w:rFonts w:cstheme="minorHAnsi"/>
        </w:rPr>
        <w:t>, who is now a Democratic US senator.</w:t>
      </w:r>
    </w:p>
    <w:p w:rsidR="00C23C2F" w:rsidRPr="000E545D" w:rsidRDefault="00C23C2F" w:rsidP="003B345B">
      <w:pPr>
        <w:pStyle w:val="ListParagraph"/>
        <w:numPr>
          <w:ilvl w:val="1"/>
          <w:numId w:val="10"/>
        </w:numPr>
        <w:spacing w:line="240" w:lineRule="auto"/>
        <w:rPr>
          <w:rFonts w:cstheme="minorHAnsi"/>
        </w:rPr>
      </w:pPr>
      <w:r w:rsidRPr="000E545D">
        <w:rPr>
          <w:rFonts w:cstheme="minorHAnsi"/>
        </w:rPr>
        <w:t xml:space="preserve">At the end of March, Baxter announced it was splitting into two companies, focussing on biopharmaceuticals and medical products respectively. </w:t>
      </w:r>
      <w:r w:rsidRPr="000E545D">
        <w:rPr>
          <w:rFonts w:eastAsia="Times New Roman" w:cstheme="minorHAnsi"/>
        </w:rPr>
        <w:t xml:space="preserve">Baxter CEO Robert Parkinson will head the medical-products company, which will retain the Baxter International name. It was responsible for $US9 billion in sales in 2013. It sells intravenous (IV) solutions and nutritional therapies, drug-delivery systems and administration sets, premixed and other injectable drugs, inhalation anaesthetics and hospital-based </w:t>
      </w:r>
      <w:proofErr w:type="spellStart"/>
      <w:r w:rsidRPr="000E545D">
        <w:rPr>
          <w:rFonts w:eastAsia="Times New Roman" w:cstheme="minorHAnsi"/>
        </w:rPr>
        <w:t>biosurgery</w:t>
      </w:r>
      <w:proofErr w:type="spellEnd"/>
      <w:r w:rsidRPr="000E545D">
        <w:rPr>
          <w:rFonts w:eastAsia="Times New Roman" w:cstheme="minorHAnsi"/>
        </w:rPr>
        <w:t xml:space="preserve"> products. The biopharmaceuticals business generated 2013 annual revenues of $US 6illion and develops treatments for haemophilia and other bleeding disorders, immune deficiencies, burns and shock. </w:t>
      </w:r>
      <w:r w:rsidRPr="000E545D">
        <w:rPr>
          <w:rFonts w:cstheme="minorHAnsi"/>
        </w:rPr>
        <w:t xml:space="preserve">This business aims to improve diagnosis, treatment and standards of care, enhance capacity to meet growing demand for </w:t>
      </w:r>
      <w:proofErr w:type="spellStart"/>
      <w:r w:rsidRPr="000E545D">
        <w:rPr>
          <w:rFonts w:cstheme="minorHAnsi"/>
        </w:rPr>
        <w:t>biotherapeutics</w:t>
      </w:r>
      <w:proofErr w:type="spellEnd"/>
      <w:r w:rsidRPr="000E545D">
        <w:rPr>
          <w:rFonts w:cstheme="minorHAnsi"/>
        </w:rPr>
        <w:t xml:space="preserve">, leverage expertise into new emerging therapeutics through acquisitions and collaborations, and develop a new product pipeline focused on new and effective treatments that address unmet medical needs. </w:t>
      </w:r>
      <w:r w:rsidRPr="000E545D">
        <w:rPr>
          <w:rFonts w:eastAsia="Times New Roman" w:cstheme="minorHAnsi"/>
        </w:rPr>
        <w:t xml:space="preserve">Baxter will make a tax-free distribution of shares in the biopharmaceuticals business to its shareholders, completing the transaction by mid-2015. The company expects to complete the transaction by mid-2015. Current president of </w:t>
      </w:r>
      <w:proofErr w:type="spellStart"/>
      <w:r w:rsidRPr="000E545D">
        <w:rPr>
          <w:rFonts w:eastAsia="Times New Roman" w:cstheme="minorHAnsi"/>
        </w:rPr>
        <w:t>BioScience</w:t>
      </w:r>
      <w:proofErr w:type="spellEnd"/>
      <w:r w:rsidRPr="000E545D">
        <w:rPr>
          <w:rFonts w:eastAsia="Times New Roman" w:cstheme="minorHAnsi"/>
        </w:rPr>
        <w:t xml:space="preserve">, Ludwig </w:t>
      </w:r>
      <w:proofErr w:type="spellStart"/>
      <w:r w:rsidRPr="000E545D">
        <w:rPr>
          <w:rFonts w:eastAsia="Times New Roman" w:cstheme="minorHAnsi"/>
        </w:rPr>
        <w:t>Hantson</w:t>
      </w:r>
      <w:proofErr w:type="spellEnd"/>
      <w:r w:rsidRPr="000E545D">
        <w:rPr>
          <w:rFonts w:eastAsia="Times New Roman" w:cstheme="minorHAnsi"/>
        </w:rPr>
        <w:t>, will run the biopharmaceuticals firm. Baxter expects the split will facilitate efficient management focus on distinct businesses, effective commercialization of new products, allocation of resources to growth areas, and improved profitability.</w:t>
      </w:r>
      <w:r w:rsidRPr="000E545D">
        <w:rPr>
          <w:rFonts w:cstheme="minorHAnsi"/>
          <w:color w:val="984806" w:themeColor="accent6" w:themeShade="80"/>
        </w:rPr>
        <w:t xml:space="preserve"> </w:t>
      </w:r>
      <w:r w:rsidRPr="000E545D">
        <w:rPr>
          <w:rFonts w:cstheme="minorHAnsi"/>
        </w:rPr>
        <w:t>The corporate headquarters of both companies will be located in northern Illinois.</w:t>
      </w:r>
      <w:r w:rsidR="000F1430" w:rsidRPr="000E545D">
        <w:rPr>
          <w:rFonts w:cstheme="minorHAnsi"/>
        </w:rPr>
        <w:t xml:space="preserve"> </w:t>
      </w:r>
    </w:p>
    <w:p w:rsidR="00611094" w:rsidRPr="000E545D" w:rsidRDefault="00D3620F" w:rsidP="003B345B">
      <w:pPr>
        <w:pStyle w:val="ListParagraph"/>
        <w:numPr>
          <w:ilvl w:val="1"/>
          <w:numId w:val="10"/>
        </w:numPr>
        <w:spacing w:line="240" w:lineRule="auto"/>
        <w:rPr>
          <w:rFonts w:cstheme="minorHAnsi"/>
        </w:rPr>
      </w:pPr>
      <w:proofErr w:type="spellStart"/>
      <w:r w:rsidRPr="000E545D">
        <w:rPr>
          <w:rFonts w:eastAsia="Times New Roman" w:cstheme="minorHAnsi"/>
        </w:rPr>
        <w:t>Biotest</w:t>
      </w:r>
      <w:proofErr w:type="spellEnd"/>
      <w:r w:rsidRPr="000E545D">
        <w:rPr>
          <w:rFonts w:eastAsia="Times New Roman" w:cstheme="minorHAnsi"/>
        </w:rPr>
        <w:t xml:space="preserve"> increased its sales by 13.8 per</w:t>
      </w:r>
      <w:r w:rsidR="00DA5555" w:rsidRPr="000E545D">
        <w:rPr>
          <w:rFonts w:eastAsia="Times New Roman" w:cstheme="minorHAnsi"/>
        </w:rPr>
        <w:t xml:space="preserve"> </w:t>
      </w:r>
      <w:r w:rsidRPr="000E545D">
        <w:rPr>
          <w:rFonts w:eastAsia="Times New Roman" w:cstheme="minorHAnsi"/>
        </w:rPr>
        <w:t xml:space="preserve">cent last year. </w:t>
      </w:r>
      <w:r w:rsidR="00DA5555" w:rsidRPr="000E545D">
        <w:rPr>
          <w:rFonts w:eastAsia="Times New Roman" w:cstheme="minorHAnsi"/>
        </w:rPr>
        <w:t xml:space="preserve">Sales rose </w:t>
      </w:r>
      <w:r w:rsidRPr="000E545D">
        <w:rPr>
          <w:rFonts w:eastAsia="Times New Roman" w:cstheme="minorHAnsi"/>
        </w:rPr>
        <w:t xml:space="preserve">the 500 million euro mark for the first time, up from 440 million euros in the </w:t>
      </w:r>
      <w:r w:rsidR="00DA5555" w:rsidRPr="000E545D">
        <w:rPr>
          <w:rFonts w:eastAsia="Times New Roman" w:cstheme="minorHAnsi"/>
        </w:rPr>
        <w:t xml:space="preserve">previous </w:t>
      </w:r>
      <w:r w:rsidRPr="000E545D">
        <w:rPr>
          <w:rFonts w:eastAsia="Times New Roman" w:cstheme="minorHAnsi"/>
        </w:rPr>
        <w:t xml:space="preserve">financial year. </w:t>
      </w:r>
      <w:proofErr w:type="spellStart"/>
      <w:r w:rsidRPr="000E545D">
        <w:rPr>
          <w:rFonts w:eastAsia="Times New Roman" w:cstheme="minorHAnsi"/>
        </w:rPr>
        <w:t>Biotest's</w:t>
      </w:r>
      <w:proofErr w:type="spellEnd"/>
      <w:r w:rsidRPr="000E545D">
        <w:rPr>
          <w:rFonts w:eastAsia="Times New Roman" w:cstheme="minorHAnsi"/>
        </w:rPr>
        <w:t xml:space="preserve"> </w:t>
      </w:r>
      <w:r w:rsidR="00DA5555" w:rsidRPr="000E545D">
        <w:rPr>
          <w:rFonts w:eastAsia="Times New Roman" w:cstheme="minorHAnsi"/>
        </w:rPr>
        <w:t xml:space="preserve">US </w:t>
      </w:r>
      <w:r w:rsidRPr="000E545D">
        <w:rPr>
          <w:rFonts w:eastAsia="Times New Roman" w:cstheme="minorHAnsi"/>
        </w:rPr>
        <w:t xml:space="preserve">launch of </w:t>
      </w:r>
      <w:proofErr w:type="spellStart"/>
      <w:r w:rsidRPr="000E545D">
        <w:rPr>
          <w:rFonts w:eastAsia="Times New Roman" w:cstheme="minorHAnsi"/>
        </w:rPr>
        <w:t>Bivigam</w:t>
      </w:r>
      <w:proofErr w:type="spellEnd"/>
      <w:r w:rsidRPr="000E545D">
        <w:rPr>
          <w:rFonts w:eastAsia="Times New Roman" w:cstheme="minorHAnsi"/>
        </w:rPr>
        <w:t xml:space="preserve"> </w:t>
      </w:r>
      <w:r w:rsidR="00DA5555" w:rsidRPr="000E545D">
        <w:rPr>
          <w:rFonts w:eastAsia="Times New Roman" w:cstheme="minorHAnsi"/>
        </w:rPr>
        <w:t>meant</w:t>
      </w:r>
      <w:r w:rsidRPr="000E545D">
        <w:rPr>
          <w:rFonts w:eastAsia="Times New Roman" w:cstheme="minorHAnsi"/>
        </w:rPr>
        <w:t xml:space="preserve"> sales in the therapy segment </w:t>
      </w:r>
      <w:r w:rsidR="00DA5555" w:rsidRPr="000E545D">
        <w:rPr>
          <w:rFonts w:eastAsia="Times New Roman" w:cstheme="minorHAnsi"/>
        </w:rPr>
        <w:t xml:space="preserve">rose </w:t>
      </w:r>
      <w:r w:rsidRPr="000E545D">
        <w:rPr>
          <w:rFonts w:eastAsia="Times New Roman" w:cstheme="minorHAnsi"/>
        </w:rPr>
        <w:t>16.7 per</w:t>
      </w:r>
      <w:r w:rsidR="00DA5555" w:rsidRPr="000E545D">
        <w:rPr>
          <w:rFonts w:eastAsia="Times New Roman" w:cstheme="minorHAnsi"/>
        </w:rPr>
        <w:t xml:space="preserve"> </w:t>
      </w:r>
      <w:r w:rsidRPr="000E545D">
        <w:rPr>
          <w:rFonts w:eastAsia="Times New Roman" w:cstheme="minorHAnsi"/>
        </w:rPr>
        <w:t>cent from 330.9 million euros to 386.2 million euros.</w:t>
      </w:r>
      <w:r w:rsidR="00DA5555" w:rsidRPr="000E545D">
        <w:rPr>
          <w:rFonts w:eastAsia="Times New Roman" w:cstheme="minorHAnsi"/>
        </w:rPr>
        <w:t xml:space="preserve"> </w:t>
      </w:r>
      <w:r w:rsidRPr="000E545D">
        <w:rPr>
          <w:rFonts w:eastAsia="Times New Roman" w:cstheme="minorHAnsi"/>
        </w:rPr>
        <w:t xml:space="preserve">Sales </w:t>
      </w:r>
      <w:r w:rsidR="003A161B">
        <w:rPr>
          <w:rFonts w:eastAsia="Times New Roman" w:cstheme="minorHAnsi"/>
        </w:rPr>
        <w:t>i</w:t>
      </w:r>
      <w:r w:rsidR="00DA5555" w:rsidRPr="000E545D">
        <w:rPr>
          <w:rFonts w:eastAsia="Times New Roman" w:cstheme="minorHAnsi"/>
        </w:rPr>
        <w:t xml:space="preserve">n Germany rose 4.5 per cent during 2013. </w:t>
      </w:r>
      <w:proofErr w:type="spellStart"/>
      <w:r w:rsidRPr="000E545D">
        <w:rPr>
          <w:rFonts w:eastAsia="Times New Roman" w:cstheme="minorHAnsi"/>
        </w:rPr>
        <w:t>Biotest</w:t>
      </w:r>
      <w:proofErr w:type="spellEnd"/>
      <w:r w:rsidRPr="000E545D">
        <w:rPr>
          <w:rFonts w:eastAsia="Times New Roman" w:cstheme="minorHAnsi"/>
        </w:rPr>
        <w:t xml:space="preserve"> </w:t>
      </w:r>
      <w:r w:rsidR="00DA5555" w:rsidRPr="000E545D">
        <w:rPr>
          <w:rFonts w:eastAsia="Times New Roman" w:cstheme="minorHAnsi"/>
        </w:rPr>
        <w:t xml:space="preserve">increased its </w:t>
      </w:r>
      <w:r w:rsidRPr="000E545D">
        <w:rPr>
          <w:rFonts w:eastAsia="Times New Roman" w:cstheme="minorHAnsi"/>
        </w:rPr>
        <w:t>operating profit by 20.4 percent</w:t>
      </w:r>
      <w:r w:rsidR="00DA5555" w:rsidRPr="000E545D">
        <w:rPr>
          <w:rFonts w:eastAsia="Times New Roman" w:cstheme="minorHAnsi"/>
        </w:rPr>
        <w:t>,</w:t>
      </w:r>
      <w:r w:rsidRPr="000E545D">
        <w:rPr>
          <w:rFonts w:eastAsia="Times New Roman" w:cstheme="minorHAnsi"/>
        </w:rPr>
        <w:t xml:space="preserve"> </w:t>
      </w:r>
      <w:r w:rsidR="00DA5555" w:rsidRPr="000E545D">
        <w:rPr>
          <w:rFonts w:eastAsia="Times New Roman" w:cstheme="minorHAnsi"/>
        </w:rPr>
        <w:t xml:space="preserve">from 44.7 million euros in 2012 to 53.8 million euros in 2013. </w:t>
      </w:r>
      <w:proofErr w:type="spellStart"/>
      <w:r w:rsidR="00DA5555" w:rsidRPr="000E545D">
        <w:rPr>
          <w:rFonts w:eastAsia="Times New Roman" w:cstheme="minorHAnsi"/>
        </w:rPr>
        <w:t>Biotest’s</w:t>
      </w:r>
      <w:proofErr w:type="spellEnd"/>
      <w:r w:rsidR="00DA5555" w:rsidRPr="000E545D">
        <w:rPr>
          <w:rFonts w:eastAsia="Times New Roman" w:cstheme="minorHAnsi"/>
        </w:rPr>
        <w:t xml:space="preserve"> </w:t>
      </w:r>
      <w:r w:rsidRPr="000E545D">
        <w:rPr>
          <w:rFonts w:eastAsia="Times New Roman" w:cstheme="minorHAnsi"/>
        </w:rPr>
        <w:t>Board of Management expects sales and operating profit in the financial year 2014 to grow</w:t>
      </w:r>
      <w:r w:rsidR="00755685" w:rsidRPr="000E545D">
        <w:rPr>
          <w:rFonts w:eastAsia="Times New Roman" w:cstheme="minorHAnsi"/>
        </w:rPr>
        <w:t xml:space="preserve"> </w:t>
      </w:r>
      <w:r w:rsidR="00DA5555" w:rsidRPr="000E545D">
        <w:rPr>
          <w:rFonts w:eastAsia="Times New Roman" w:cstheme="minorHAnsi"/>
        </w:rPr>
        <w:t xml:space="preserve">about </w:t>
      </w:r>
      <w:r w:rsidR="00755685" w:rsidRPr="000E545D">
        <w:rPr>
          <w:rFonts w:eastAsia="Times New Roman" w:cstheme="minorHAnsi"/>
        </w:rPr>
        <w:t>ten per cent.</w:t>
      </w:r>
    </w:p>
    <w:p w:rsidR="00611094" w:rsidRPr="000E545D" w:rsidRDefault="00611094" w:rsidP="003B345B">
      <w:pPr>
        <w:pStyle w:val="ListParagraph"/>
        <w:numPr>
          <w:ilvl w:val="1"/>
          <w:numId w:val="10"/>
        </w:numPr>
        <w:spacing w:line="240" w:lineRule="auto"/>
        <w:rPr>
          <w:rFonts w:cstheme="minorHAnsi"/>
        </w:rPr>
      </w:pPr>
      <w:r w:rsidRPr="000E545D">
        <w:rPr>
          <w:rFonts w:cstheme="minorHAnsi"/>
        </w:rPr>
        <w:lastRenderedPageBreak/>
        <w:t xml:space="preserve">Shares of </w:t>
      </w:r>
      <w:proofErr w:type="spellStart"/>
      <w:r w:rsidRPr="000E545D">
        <w:rPr>
          <w:rStyle w:val="Strong"/>
          <w:rFonts w:cstheme="minorHAnsi"/>
          <w:b w:val="0"/>
        </w:rPr>
        <w:t>Haemonetics</w:t>
      </w:r>
      <w:proofErr w:type="spellEnd"/>
      <w:r w:rsidRPr="000E545D">
        <w:rPr>
          <w:rFonts w:cstheme="minorHAnsi"/>
          <w:b/>
        </w:rPr>
        <w:t xml:space="preserve"> </w:t>
      </w:r>
      <w:r w:rsidRPr="000E545D">
        <w:rPr>
          <w:rStyle w:val="Strong"/>
          <w:rFonts w:cstheme="minorHAnsi"/>
          <w:b w:val="0"/>
        </w:rPr>
        <w:t>Corporation</w:t>
      </w:r>
      <w:r w:rsidRPr="000E545D">
        <w:rPr>
          <w:rFonts w:cstheme="minorHAnsi"/>
        </w:rPr>
        <w:t xml:space="preserve">, a US blood management solutions company, slumped by round 10 per cent when it announced it had not been considered by the American Red Cross for a new supply contract for certain whole blood collection kits. </w:t>
      </w:r>
      <w:proofErr w:type="spellStart"/>
      <w:r w:rsidRPr="000E545D">
        <w:rPr>
          <w:rFonts w:cstheme="minorHAnsi"/>
        </w:rPr>
        <w:t>Haemonetics</w:t>
      </w:r>
      <w:proofErr w:type="spellEnd"/>
      <w:r w:rsidRPr="000E545D">
        <w:rPr>
          <w:rFonts w:cstheme="minorHAnsi"/>
        </w:rPr>
        <w:t xml:space="preserve"> has been supplying 1.8 million in-line whole blood collection kits to the American Red Cross per annum.</w:t>
      </w:r>
    </w:p>
    <w:p w:rsidR="00755685" w:rsidRPr="000E545D" w:rsidRDefault="00611094" w:rsidP="003B345B">
      <w:pPr>
        <w:pStyle w:val="ListParagraph"/>
        <w:numPr>
          <w:ilvl w:val="1"/>
          <w:numId w:val="10"/>
        </w:numPr>
        <w:spacing w:line="240" w:lineRule="auto"/>
        <w:rPr>
          <w:rFonts w:cstheme="minorHAnsi"/>
        </w:rPr>
      </w:pPr>
      <w:r w:rsidRPr="000E545D">
        <w:rPr>
          <w:rFonts w:cstheme="minorHAnsi"/>
        </w:rPr>
        <w:t xml:space="preserve">Genzyme, a Sanofi company, exercised its right to buy 344,448 shares of </w:t>
      </w:r>
      <w:proofErr w:type="spellStart"/>
      <w:r w:rsidRPr="000E545D">
        <w:rPr>
          <w:rFonts w:cstheme="minorHAnsi"/>
        </w:rPr>
        <w:t>Alnylam’s</w:t>
      </w:r>
      <w:proofErr w:type="spellEnd"/>
      <w:r w:rsidRPr="000E545D">
        <w:rPr>
          <w:rFonts w:cstheme="minorHAnsi"/>
        </w:rPr>
        <w:t xml:space="preserve"> common stock. In January 2014, Alnylam and Genzyme formed a collaboration for the development and commercialization of RNAi therapeutics as genetic medicines.</w:t>
      </w:r>
    </w:p>
    <w:p w:rsidR="00C23C2F" w:rsidRPr="000E545D" w:rsidRDefault="005535DE" w:rsidP="003B345B">
      <w:pPr>
        <w:pStyle w:val="ListParagraph"/>
        <w:numPr>
          <w:ilvl w:val="1"/>
          <w:numId w:val="10"/>
        </w:numPr>
        <w:spacing w:line="240" w:lineRule="auto"/>
        <w:rPr>
          <w:rFonts w:cstheme="minorHAnsi"/>
        </w:rPr>
      </w:pPr>
      <w:proofErr w:type="spellStart"/>
      <w:r w:rsidRPr="000E545D">
        <w:rPr>
          <w:rFonts w:cstheme="minorHAnsi"/>
        </w:rPr>
        <w:t>Cerus</w:t>
      </w:r>
      <w:proofErr w:type="spellEnd"/>
      <w:r w:rsidRPr="000E545D">
        <w:rPr>
          <w:rFonts w:cstheme="minorHAnsi"/>
        </w:rPr>
        <w:t xml:space="preserve"> Corporation </w:t>
      </w:r>
      <w:r w:rsidR="00D725FC" w:rsidRPr="000E545D">
        <w:rPr>
          <w:rFonts w:cstheme="minorHAnsi"/>
        </w:rPr>
        <w:t xml:space="preserve">reported </w:t>
      </w:r>
      <w:r w:rsidRPr="000E545D">
        <w:rPr>
          <w:rFonts w:cstheme="minorHAnsi"/>
        </w:rPr>
        <w:t xml:space="preserve">that the Humanitarian Foundation Swiss Red Cross has granted funds to Swiss </w:t>
      </w:r>
      <w:proofErr w:type="spellStart"/>
      <w:r w:rsidRPr="000E545D">
        <w:rPr>
          <w:rFonts w:cstheme="minorHAnsi"/>
        </w:rPr>
        <w:t>Tranfusion</w:t>
      </w:r>
      <w:proofErr w:type="spellEnd"/>
      <w:r w:rsidRPr="000E545D">
        <w:rPr>
          <w:rFonts w:cstheme="minorHAnsi"/>
        </w:rPr>
        <w:t xml:space="preserve"> SRC to adapt the INTERCEPT Blood System for red blood cells for pathogen inactivation and transfusion of whole blood for sub-Saharan African countries. The initia</w:t>
      </w:r>
      <w:r w:rsidR="00D725FC" w:rsidRPr="000E545D">
        <w:rPr>
          <w:rFonts w:cstheme="minorHAnsi"/>
        </w:rPr>
        <w:t>l funding of 1.5 million Swiss f</w:t>
      </w:r>
      <w:r w:rsidRPr="000E545D">
        <w:rPr>
          <w:rFonts w:cstheme="minorHAnsi"/>
        </w:rPr>
        <w:t xml:space="preserve">rancs </w:t>
      </w:r>
      <w:r w:rsidR="00D725FC" w:rsidRPr="000E545D">
        <w:rPr>
          <w:rFonts w:cstheme="minorHAnsi"/>
        </w:rPr>
        <w:t xml:space="preserve">is for </w:t>
      </w:r>
      <w:r w:rsidRPr="000E545D">
        <w:rPr>
          <w:rFonts w:cstheme="minorHAnsi"/>
        </w:rPr>
        <w:t xml:space="preserve">the </w:t>
      </w:r>
      <w:r w:rsidR="00D725FC" w:rsidRPr="000E545D">
        <w:rPr>
          <w:rFonts w:cstheme="minorHAnsi"/>
        </w:rPr>
        <w:t xml:space="preserve">project’s </w:t>
      </w:r>
      <w:r w:rsidRPr="000E545D">
        <w:rPr>
          <w:rFonts w:cstheme="minorHAnsi"/>
        </w:rPr>
        <w:t xml:space="preserve">feasibility phase and </w:t>
      </w:r>
      <w:r w:rsidR="00D725FC" w:rsidRPr="000E545D">
        <w:rPr>
          <w:rFonts w:cstheme="minorHAnsi"/>
        </w:rPr>
        <w:t xml:space="preserve">for the </w:t>
      </w:r>
      <w:r w:rsidRPr="000E545D">
        <w:rPr>
          <w:rFonts w:cstheme="minorHAnsi"/>
        </w:rPr>
        <w:t>completion of in vitro studies to support patient clinical trials.</w:t>
      </w:r>
      <w:r w:rsidR="00D725FC" w:rsidRPr="000E545D">
        <w:rPr>
          <w:rFonts w:cstheme="minorHAnsi"/>
        </w:rPr>
        <w:t xml:space="preserve"> It is </w:t>
      </w:r>
      <w:r w:rsidRPr="000E545D">
        <w:rPr>
          <w:rFonts w:cstheme="minorHAnsi"/>
        </w:rPr>
        <w:t>common practice in many African countries to transfuse whole blood</w:t>
      </w:r>
      <w:r w:rsidR="00D725FC" w:rsidRPr="000E545D">
        <w:rPr>
          <w:rFonts w:cstheme="minorHAnsi"/>
        </w:rPr>
        <w:t>, whereas in developed countries platelets, plasma or red cells are more often transfused</w:t>
      </w:r>
      <w:r w:rsidR="00D725FC" w:rsidRPr="000E545D">
        <w:rPr>
          <w:rStyle w:val="FootnoteReference"/>
          <w:rFonts w:cstheme="minorHAnsi"/>
        </w:rPr>
        <w:footnoteReference w:id="5"/>
      </w:r>
      <w:r w:rsidR="00D725FC" w:rsidRPr="000E545D">
        <w:rPr>
          <w:rFonts w:cstheme="minorHAnsi"/>
        </w:rPr>
        <w:t>.</w:t>
      </w:r>
      <w:r w:rsidR="001F5462" w:rsidRPr="000E545D">
        <w:rPr>
          <w:rFonts w:cstheme="minorHAnsi"/>
        </w:rPr>
        <w:t xml:space="preserve"> In addition to the </w:t>
      </w:r>
      <w:r w:rsidRPr="000E545D">
        <w:rPr>
          <w:rFonts w:cstheme="minorHAnsi"/>
        </w:rPr>
        <w:t>transfusion-transmitted pathogens such as HIV HBV HCV and bacteria</w:t>
      </w:r>
      <w:r w:rsidR="001F5462" w:rsidRPr="000E545D">
        <w:rPr>
          <w:rFonts w:cstheme="minorHAnsi"/>
        </w:rPr>
        <w:t>,</w:t>
      </w:r>
      <w:r w:rsidRPr="000E545D">
        <w:rPr>
          <w:rFonts w:cstheme="minorHAnsi"/>
        </w:rPr>
        <w:t xml:space="preserve"> </w:t>
      </w:r>
      <w:r w:rsidR="001F5462" w:rsidRPr="000E545D">
        <w:rPr>
          <w:rFonts w:cstheme="minorHAnsi"/>
        </w:rPr>
        <w:t xml:space="preserve">there are risks in Africa due to endemic infections such as dengue, malaria, </w:t>
      </w:r>
      <w:r w:rsidRPr="000E545D">
        <w:rPr>
          <w:rFonts w:cstheme="minorHAnsi"/>
        </w:rPr>
        <w:t xml:space="preserve">chikungunya and </w:t>
      </w:r>
      <w:proofErr w:type="spellStart"/>
      <w:r w:rsidRPr="000E545D">
        <w:rPr>
          <w:rFonts w:cstheme="minorHAnsi"/>
        </w:rPr>
        <w:t>Leishmania</w:t>
      </w:r>
      <w:proofErr w:type="spellEnd"/>
      <w:r w:rsidRPr="000E545D">
        <w:rPr>
          <w:rFonts w:cstheme="minorHAnsi"/>
        </w:rPr>
        <w:t xml:space="preserve"> for which screening assays may not be available.</w:t>
      </w:r>
      <w:r w:rsidR="00240133" w:rsidRPr="000E545D">
        <w:rPr>
          <w:rFonts w:cstheme="minorHAnsi"/>
        </w:rPr>
        <w:t xml:space="preserve"> William ‘Obi’ </w:t>
      </w:r>
      <w:proofErr w:type="spellStart"/>
      <w:r w:rsidR="00240133" w:rsidRPr="000E545D">
        <w:rPr>
          <w:rFonts w:cstheme="minorHAnsi"/>
        </w:rPr>
        <w:t>Greenman</w:t>
      </w:r>
      <w:proofErr w:type="spellEnd"/>
      <w:r w:rsidR="00240133" w:rsidRPr="000E545D">
        <w:rPr>
          <w:rFonts w:cstheme="minorHAnsi"/>
        </w:rPr>
        <w:t xml:space="preserve">, </w:t>
      </w:r>
      <w:proofErr w:type="spellStart"/>
      <w:r w:rsidR="00240133" w:rsidRPr="000E545D">
        <w:rPr>
          <w:rFonts w:cstheme="minorHAnsi"/>
        </w:rPr>
        <w:t>Cerus</w:t>
      </w:r>
      <w:proofErr w:type="spellEnd"/>
      <w:r w:rsidR="00240133" w:rsidRPr="000E545D">
        <w:rPr>
          <w:rFonts w:cstheme="minorHAnsi"/>
        </w:rPr>
        <w:t>’ president and chief executive officer, said: “</w:t>
      </w:r>
      <w:r w:rsidRPr="000E545D">
        <w:rPr>
          <w:rFonts w:cstheme="minorHAnsi"/>
        </w:rPr>
        <w:t>By leveraging our experience using the S-303 pathogen inactivation technology in red cell components we hope to be able to develop a system for whole blood that does not require electricity to inactivate pathogens or leukocytes that may be</w:t>
      </w:r>
      <w:r w:rsidR="00240133" w:rsidRPr="000E545D">
        <w:rPr>
          <w:rFonts w:cstheme="minorHAnsi"/>
        </w:rPr>
        <w:t xml:space="preserve"> present in whole blood. </w:t>
      </w:r>
      <w:r w:rsidRPr="000E545D">
        <w:rPr>
          <w:rFonts w:cstheme="minorHAnsi"/>
        </w:rPr>
        <w:t>Maternal mortality in sub-Saharan Africa is commonly a function of h</w:t>
      </w:r>
      <w:r w:rsidR="00240133" w:rsidRPr="000E545D">
        <w:rPr>
          <w:rFonts w:cstheme="minorHAnsi"/>
        </w:rPr>
        <w:t>a</w:t>
      </w:r>
      <w:r w:rsidRPr="000E545D">
        <w:rPr>
          <w:rFonts w:cstheme="minorHAnsi"/>
        </w:rPr>
        <w:t>emorrhagic complications from childbirth and we believe that this technology has the potential to play a meaningful role in improving blood safety and availability in the region and correspondingly improve patient outcomes.”</w:t>
      </w:r>
    </w:p>
    <w:p w:rsidR="00B25A8D" w:rsidRPr="000E545D" w:rsidRDefault="00B25A8D" w:rsidP="00B25A8D">
      <w:pPr>
        <w:pStyle w:val="Heading1"/>
        <w:numPr>
          <w:ilvl w:val="0"/>
          <w:numId w:val="1"/>
        </w:numPr>
        <w:ind w:left="360"/>
        <w:rPr>
          <w:rFonts w:asciiTheme="minorHAnsi" w:hAnsiTheme="minorHAnsi" w:cstheme="minorHAnsi"/>
          <w:color w:val="FF0000"/>
        </w:rPr>
      </w:pPr>
      <w:bookmarkStart w:id="8" w:name="_Toc363109456"/>
      <w:bookmarkStart w:id="9" w:name="_Toc386454273"/>
      <w:r w:rsidRPr="000E545D">
        <w:rPr>
          <w:rFonts w:asciiTheme="minorHAnsi" w:hAnsiTheme="minorHAnsi" w:cstheme="minorHAnsi"/>
          <w:color w:val="FF0000"/>
        </w:rPr>
        <w:t>Country- specific events</w:t>
      </w:r>
      <w:bookmarkEnd w:id="8"/>
      <w:bookmarkEnd w:id="9"/>
    </w:p>
    <w:p w:rsidR="00B25A8D" w:rsidRPr="000E545D" w:rsidRDefault="00B25A8D" w:rsidP="00B25A8D">
      <w:pPr>
        <w:spacing w:line="240" w:lineRule="auto"/>
        <w:rPr>
          <w:rFonts w:cstheme="minorHAnsi"/>
          <w:b/>
          <w:sz w:val="28"/>
          <w:szCs w:val="28"/>
        </w:rPr>
      </w:pPr>
      <w:r w:rsidRPr="000E545D">
        <w:rPr>
          <w:rFonts w:cstheme="minorHAnsi"/>
          <w:i/>
        </w:rPr>
        <w:t>The NBA is interested in relevant safety issues which arise in particular countries, and al</w:t>
      </w:r>
      <w:r w:rsidR="004D3397" w:rsidRPr="000E545D">
        <w:rPr>
          <w:rFonts w:cstheme="minorHAnsi"/>
          <w:i/>
        </w:rPr>
        <w:t xml:space="preserve">so instances of good practice. </w:t>
      </w:r>
      <w:r w:rsidRPr="000E545D">
        <w:rPr>
          <w:rFonts w:cstheme="minorHAnsi"/>
          <w:i/>
        </w:rPr>
        <w:t>We monitor health issues in countries from which Australia’</w:t>
      </w:r>
      <w:r w:rsidRPr="000E545D">
        <w:rPr>
          <w:rFonts w:cstheme="minorHAnsi"/>
        </w:rPr>
        <w:t>s</w:t>
      </w:r>
      <w:r w:rsidRPr="000E545D">
        <w:rPr>
          <w:rFonts w:cstheme="minorHAnsi"/>
          <w:i/>
        </w:rPr>
        <w:t xml:space="preserve"> visitors and immigrants come.</w:t>
      </w:r>
    </w:p>
    <w:p w:rsidR="00DD6521" w:rsidRPr="000E545D" w:rsidRDefault="00B95EA9" w:rsidP="003B345B">
      <w:pPr>
        <w:pStyle w:val="ListParagraph"/>
        <w:numPr>
          <w:ilvl w:val="1"/>
          <w:numId w:val="11"/>
        </w:numPr>
        <w:spacing w:line="240" w:lineRule="auto"/>
        <w:rPr>
          <w:rFonts w:cstheme="minorHAnsi"/>
        </w:rPr>
      </w:pPr>
      <w:r w:rsidRPr="000E545D">
        <w:rPr>
          <w:rFonts w:cstheme="minorHAnsi"/>
          <w:noProof/>
          <w:color w:val="4F6228" w:themeColor="accent3" w:themeShade="80"/>
          <w:lang w:eastAsia="en-AU"/>
        </w:rPr>
        <w:drawing>
          <wp:inline distT="0" distB="0" distL="0" distR="0" wp14:anchorId="798226EE" wp14:editId="111C5E97">
            <wp:extent cx="7620" cy="7620"/>
            <wp:effectExtent l="0" t="0" r="0" b="0"/>
            <wp:docPr id="5" name="Picture 5" descr="http://www.nationaljournal.com/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tionaljournal.com/img/1x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E545D">
        <w:rPr>
          <w:rFonts w:eastAsia="Times New Roman" w:cstheme="minorHAnsi"/>
        </w:rPr>
        <w:t>The Netherlands is rev</w:t>
      </w:r>
      <w:r w:rsidR="000F1430" w:rsidRPr="000E545D">
        <w:rPr>
          <w:rFonts w:eastAsia="Times New Roman" w:cstheme="minorHAnsi"/>
        </w:rPr>
        <w:t xml:space="preserve">ising </w:t>
      </w:r>
      <w:r w:rsidRPr="000E545D">
        <w:rPr>
          <w:rFonts w:eastAsia="Times New Roman" w:cstheme="minorHAnsi"/>
        </w:rPr>
        <w:t xml:space="preserve">its regulatory regime </w:t>
      </w:r>
      <w:r w:rsidR="000F1430" w:rsidRPr="000E545D">
        <w:rPr>
          <w:rFonts w:eastAsia="Times New Roman" w:cstheme="minorHAnsi"/>
        </w:rPr>
        <w:t xml:space="preserve">for biological research </w:t>
      </w:r>
      <w:r w:rsidRPr="000E545D">
        <w:rPr>
          <w:rFonts w:eastAsia="Times New Roman" w:cstheme="minorHAnsi"/>
        </w:rPr>
        <w:t xml:space="preserve">after Dutch scientists </w:t>
      </w:r>
      <w:r w:rsidR="000F1430" w:rsidRPr="000E545D">
        <w:rPr>
          <w:rFonts w:eastAsia="Times New Roman" w:cstheme="minorHAnsi"/>
        </w:rPr>
        <w:t xml:space="preserve">changed an avian </w:t>
      </w:r>
      <w:r w:rsidRPr="000E545D">
        <w:rPr>
          <w:rFonts w:eastAsia="Times New Roman" w:cstheme="minorHAnsi"/>
        </w:rPr>
        <w:t xml:space="preserve">influenza </w:t>
      </w:r>
      <w:r w:rsidR="000F1430" w:rsidRPr="000E545D">
        <w:rPr>
          <w:rFonts w:eastAsia="Times New Roman" w:cstheme="minorHAnsi"/>
        </w:rPr>
        <w:t xml:space="preserve">virus so it would be </w:t>
      </w:r>
      <w:r w:rsidRPr="000E545D">
        <w:rPr>
          <w:rFonts w:eastAsia="Times New Roman" w:cstheme="minorHAnsi"/>
        </w:rPr>
        <w:t xml:space="preserve">more contagious. </w:t>
      </w:r>
      <w:r w:rsidR="0009107E" w:rsidRPr="000E545D">
        <w:rPr>
          <w:rFonts w:cstheme="minorHAnsi"/>
        </w:rPr>
        <w:t>The new regime will incorporate</w:t>
      </w:r>
      <w:r w:rsidRPr="000E545D">
        <w:rPr>
          <w:rFonts w:cstheme="minorHAnsi"/>
        </w:rPr>
        <w:t xml:space="preserve"> "lessons learned" from a</w:t>
      </w:r>
      <w:r w:rsidR="0009107E" w:rsidRPr="000E545D">
        <w:rPr>
          <w:rFonts w:cstheme="minorHAnsi"/>
        </w:rPr>
        <w:t xml:space="preserve"> continuing </w:t>
      </w:r>
      <w:r w:rsidRPr="000E545D">
        <w:rPr>
          <w:rFonts w:cstheme="minorHAnsi"/>
        </w:rPr>
        <w:t xml:space="preserve">dispute over the H5N1 </w:t>
      </w:r>
      <w:r w:rsidR="0009107E" w:rsidRPr="000E545D">
        <w:rPr>
          <w:rFonts w:cstheme="minorHAnsi"/>
        </w:rPr>
        <w:t>gain-of-function</w:t>
      </w:r>
      <w:r w:rsidRPr="000E545D">
        <w:rPr>
          <w:rFonts w:cstheme="minorHAnsi"/>
        </w:rPr>
        <w:t xml:space="preserve"> research of virologist Ron </w:t>
      </w:r>
      <w:proofErr w:type="spellStart"/>
      <w:r w:rsidRPr="000E545D">
        <w:rPr>
          <w:rFonts w:cstheme="minorHAnsi"/>
        </w:rPr>
        <w:t>Fouchier</w:t>
      </w:r>
      <w:proofErr w:type="spellEnd"/>
      <w:r w:rsidR="0009107E" w:rsidRPr="000E545D">
        <w:rPr>
          <w:rStyle w:val="FootnoteReference"/>
          <w:rFonts w:cstheme="minorHAnsi"/>
        </w:rPr>
        <w:footnoteReference w:id="6"/>
      </w:r>
      <w:r w:rsidRPr="000E545D">
        <w:rPr>
          <w:rFonts w:cstheme="minorHAnsi"/>
        </w:rPr>
        <w:t>,</w:t>
      </w:r>
      <w:r w:rsidR="0009107E" w:rsidRPr="000E545D">
        <w:rPr>
          <w:rFonts w:cstheme="minorHAnsi"/>
        </w:rPr>
        <w:t xml:space="preserve"> according to </w:t>
      </w:r>
      <w:proofErr w:type="spellStart"/>
      <w:r w:rsidRPr="000E545D">
        <w:rPr>
          <w:rFonts w:cstheme="minorHAnsi"/>
        </w:rPr>
        <w:t>Ayse</w:t>
      </w:r>
      <w:proofErr w:type="spellEnd"/>
      <w:r w:rsidRPr="000E545D">
        <w:rPr>
          <w:rFonts w:cstheme="minorHAnsi"/>
        </w:rPr>
        <w:t xml:space="preserve"> Aydin, </w:t>
      </w:r>
      <w:r w:rsidR="0009107E" w:rsidRPr="000E545D">
        <w:rPr>
          <w:rFonts w:cstheme="minorHAnsi"/>
        </w:rPr>
        <w:t xml:space="preserve">from the Dutch Foreign Affairs </w:t>
      </w:r>
      <w:r w:rsidR="0009107E" w:rsidRPr="000E545D">
        <w:rPr>
          <w:rFonts w:cstheme="minorHAnsi"/>
        </w:rPr>
        <w:lastRenderedPageBreak/>
        <w:t>Ministry</w:t>
      </w:r>
      <w:r w:rsidRPr="000E545D">
        <w:rPr>
          <w:rFonts w:cstheme="minorHAnsi"/>
        </w:rPr>
        <w:t xml:space="preserve">'s </w:t>
      </w:r>
      <w:proofErr w:type="spellStart"/>
      <w:r w:rsidRPr="000E545D">
        <w:rPr>
          <w:rFonts w:cstheme="minorHAnsi"/>
        </w:rPr>
        <w:t>nonproliferation</w:t>
      </w:r>
      <w:proofErr w:type="spellEnd"/>
      <w:r w:rsidRPr="000E545D">
        <w:rPr>
          <w:rFonts w:cstheme="minorHAnsi"/>
        </w:rPr>
        <w:t xml:space="preserve"> and disarmament division. Aydin said authors </w:t>
      </w:r>
      <w:r w:rsidR="0009107E" w:rsidRPr="000E545D">
        <w:rPr>
          <w:rFonts w:cstheme="minorHAnsi"/>
        </w:rPr>
        <w:t xml:space="preserve">of the policy would </w:t>
      </w:r>
      <w:r w:rsidRPr="000E545D">
        <w:rPr>
          <w:rFonts w:cstheme="minorHAnsi"/>
        </w:rPr>
        <w:t xml:space="preserve">consider findings from a December </w:t>
      </w:r>
      <w:hyperlink r:id="rId11" w:history="1">
        <w:r w:rsidRPr="000E545D">
          <w:rPr>
            <w:rStyle w:val="Hyperlink"/>
            <w:rFonts w:cstheme="minorHAnsi"/>
            <w:color w:val="auto"/>
            <w:u w:val="none"/>
          </w:rPr>
          <w:t>report</w:t>
        </w:r>
      </w:hyperlink>
      <w:r w:rsidRPr="000E545D">
        <w:rPr>
          <w:rFonts w:cstheme="minorHAnsi"/>
        </w:rPr>
        <w:t xml:space="preserve"> by the Royal Netherlands Academy of Arts and Sciences. </w:t>
      </w:r>
      <w:r w:rsidR="0009107E" w:rsidRPr="000E545D">
        <w:rPr>
          <w:rFonts w:cstheme="minorHAnsi"/>
        </w:rPr>
        <w:t>O</w:t>
      </w:r>
      <w:r w:rsidRPr="000E545D">
        <w:rPr>
          <w:rFonts w:cstheme="minorHAnsi"/>
        </w:rPr>
        <w:t xml:space="preserve">ne of its recommendations called for the </w:t>
      </w:r>
      <w:r w:rsidR="0009107E" w:rsidRPr="000E545D">
        <w:rPr>
          <w:rFonts w:cstheme="minorHAnsi"/>
        </w:rPr>
        <w:t xml:space="preserve">establishment </w:t>
      </w:r>
      <w:r w:rsidRPr="000E545D">
        <w:rPr>
          <w:rFonts w:cstheme="minorHAnsi"/>
        </w:rPr>
        <w:t xml:space="preserve">of a government panel </w:t>
      </w:r>
      <w:r w:rsidR="0009107E" w:rsidRPr="000E545D">
        <w:rPr>
          <w:rFonts w:cstheme="minorHAnsi"/>
        </w:rPr>
        <w:t xml:space="preserve">to </w:t>
      </w:r>
      <w:r w:rsidRPr="000E545D">
        <w:rPr>
          <w:rFonts w:cstheme="minorHAnsi"/>
        </w:rPr>
        <w:t xml:space="preserve">issue nonbinding guidance on </w:t>
      </w:r>
      <w:r w:rsidR="0009107E" w:rsidRPr="000E545D">
        <w:rPr>
          <w:rFonts w:cstheme="minorHAnsi"/>
        </w:rPr>
        <w:t>research proposals with</w:t>
      </w:r>
      <w:r w:rsidRPr="000E545D">
        <w:rPr>
          <w:rFonts w:cstheme="minorHAnsi"/>
        </w:rPr>
        <w:t xml:space="preserve"> biological-weapon</w:t>
      </w:r>
      <w:r w:rsidR="0009107E" w:rsidRPr="000E545D">
        <w:rPr>
          <w:rFonts w:cstheme="minorHAnsi"/>
        </w:rPr>
        <w:t xml:space="preserve"> implications</w:t>
      </w:r>
      <w:r w:rsidRPr="000E545D">
        <w:rPr>
          <w:rFonts w:cstheme="minorHAnsi"/>
        </w:rPr>
        <w:t xml:space="preserve">. </w:t>
      </w:r>
    </w:p>
    <w:p w:rsidR="00DD6521" w:rsidRPr="000E545D" w:rsidRDefault="00DD6521" w:rsidP="003B345B">
      <w:pPr>
        <w:pStyle w:val="ListParagraph"/>
        <w:numPr>
          <w:ilvl w:val="1"/>
          <w:numId w:val="11"/>
        </w:numPr>
        <w:spacing w:line="240" w:lineRule="auto"/>
        <w:rPr>
          <w:rFonts w:cstheme="minorHAnsi"/>
        </w:rPr>
      </w:pPr>
      <w:r w:rsidRPr="000E545D">
        <w:rPr>
          <w:rFonts w:eastAsia="Times New Roman" w:cstheme="minorHAnsi"/>
        </w:rPr>
        <w:t xml:space="preserve">The Indonesian government has received a grant from </w:t>
      </w:r>
      <w:r w:rsidR="00755685" w:rsidRPr="000E545D">
        <w:rPr>
          <w:rFonts w:eastAsia="Times New Roman" w:cstheme="minorHAnsi"/>
        </w:rPr>
        <w:t xml:space="preserve">German-based banking institution </w:t>
      </w:r>
      <w:proofErr w:type="spellStart"/>
      <w:r w:rsidR="00755685" w:rsidRPr="000E545D">
        <w:rPr>
          <w:rFonts w:eastAsia="Times New Roman" w:cstheme="minorHAnsi"/>
        </w:rPr>
        <w:t>KfW</w:t>
      </w:r>
      <w:proofErr w:type="spellEnd"/>
      <w:r w:rsidR="00755685" w:rsidRPr="000E545D">
        <w:rPr>
          <w:rFonts w:eastAsia="Times New Roman" w:cstheme="minorHAnsi"/>
        </w:rPr>
        <w:t xml:space="preserve"> to strengthen its avian influenza prevention and control system for animal health</w:t>
      </w:r>
      <w:r w:rsidRPr="000E545D">
        <w:rPr>
          <w:rFonts w:eastAsia="Times New Roman" w:cstheme="minorHAnsi"/>
        </w:rPr>
        <w:t>. T</w:t>
      </w:r>
      <w:r w:rsidR="00755685" w:rsidRPr="000E545D">
        <w:rPr>
          <w:rFonts w:eastAsia="Times New Roman" w:cstheme="minorHAnsi"/>
        </w:rPr>
        <w:t xml:space="preserve">he grant has been used </w:t>
      </w:r>
      <w:r w:rsidRPr="000E545D">
        <w:rPr>
          <w:rFonts w:eastAsia="Times New Roman" w:cstheme="minorHAnsi"/>
        </w:rPr>
        <w:t xml:space="preserve">to construct and equip </w:t>
      </w:r>
      <w:r w:rsidR="00755685" w:rsidRPr="000E545D">
        <w:rPr>
          <w:rFonts w:eastAsia="Times New Roman" w:cstheme="minorHAnsi"/>
        </w:rPr>
        <w:t>a state-of-the-art Bio-Safety Level (BSL) 3 facility at the National Veterinary Drug Assay Laboratory (NVDAL) in Bogor, West Java province.</w:t>
      </w:r>
      <w:bookmarkStart w:id="10" w:name="_Toc384284977"/>
    </w:p>
    <w:p w:rsidR="00AD25F3" w:rsidRPr="000E545D" w:rsidRDefault="00DD6521" w:rsidP="003B345B">
      <w:pPr>
        <w:pStyle w:val="ListParagraph"/>
        <w:numPr>
          <w:ilvl w:val="1"/>
          <w:numId w:val="11"/>
        </w:numPr>
        <w:spacing w:line="240" w:lineRule="auto"/>
        <w:rPr>
          <w:rFonts w:cstheme="minorHAnsi"/>
        </w:rPr>
      </w:pPr>
      <w:r w:rsidRPr="000E545D">
        <w:rPr>
          <w:rFonts w:eastAsia="Times New Roman" w:cstheme="minorHAnsi"/>
        </w:rPr>
        <w:t>A US study</w:t>
      </w:r>
      <w:r w:rsidRPr="000E545D">
        <w:rPr>
          <w:rStyle w:val="FootnoteReference"/>
          <w:rFonts w:eastAsia="Times New Roman" w:cstheme="minorHAnsi"/>
        </w:rPr>
        <w:footnoteReference w:id="7"/>
      </w:r>
      <w:r w:rsidRPr="000E545D">
        <w:rPr>
          <w:rFonts w:eastAsia="Times New Roman" w:cstheme="minorHAnsi"/>
        </w:rPr>
        <w:t xml:space="preserve">, </w:t>
      </w:r>
      <w:bookmarkEnd w:id="10"/>
      <w:r w:rsidRPr="000E545D">
        <w:rPr>
          <w:rFonts w:eastAsia="Times New Roman" w:cstheme="minorHAnsi"/>
        </w:rPr>
        <w:t xml:space="preserve">of </w:t>
      </w:r>
      <w:r w:rsidR="005535DE" w:rsidRPr="000E545D">
        <w:rPr>
          <w:rFonts w:cstheme="minorHAnsi"/>
        </w:rPr>
        <w:t xml:space="preserve">patients hospitalized with </w:t>
      </w:r>
      <w:hyperlink r:id="rId12" w:tgtFrame="_self" w:history="1">
        <w:r w:rsidR="005535DE" w:rsidRPr="000E545D">
          <w:rPr>
            <w:rStyle w:val="Hyperlink"/>
            <w:rFonts w:cstheme="minorHAnsi"/>
            <w:color w:val="auto"/>
            <w:u w:val="none"/>
          </w:rPr>
          <w:t>myocardial infarction</w:t>
        </w:r>
      </w:hyperlink>
      <w:r w:rsidR="005535DE" w:rsidRPr="000E545D">
        <w:rPr>
          <w:rFonts w:cstheme="minorHAnsi"/>
        </w:rPr>
        <w:t xml:space="preserve">, </w:t>
      </w:r>
      <w:r w:rsidRPr="000E545D">
        <w:rPr>
          <w:rFonts w:cstheme="minorHAnsi"/>
        </w:rPr>
        <w:t xml:space="preserve">showed </w:t>
      </w:r>
      <w:r w:rsidR="005535DE" w:rsidRPr="000E545D">
        <w:rPr>
          <w:rFonts w:cstheme="minorHAnsi"/>
        </w:rPr>
        <w:t xml:space="preserve">the incidence of </w:t>
      </w:r>
      <w:hyperlink r:id="rId13" w:tgtFrame="_self" w:history="1">
        <w:r w:rsidR="005535DE" w:rsidRPr="000E545D">
          <w:rPr>
            <w:rStyle w:val="Hyperlink"/>
            <w:rFonts w:cstheme="minorHAnsi"/>
            <w:color w:val="auto"/>
            <w:u w:val="none"/>
          </w:rPr>
          <w:t>hospital-acquired an</w:t>
        </w:r>
        <w:r w:rsidR="00AD25F3" w:rsidRPr="000E545D">
          <w:rPr>
            <w:rStyle w:val="Hyperlink"/>
            <w:rFonts w:cstheme="minorHAnsi"/>
            <w:color w:val="auto"/>
            <w:u w:val="none"/>
          </w:rPr>
          <w:t>a</w:t>
        </w:r>
        <w:r w:rsidR="005535DE" w:rsidRPr="000E545D">
          <w:rPr>
            <w:rStyle w:val="Hyperlink"/>
            <w:rFonts w:cstheme="minorHAnsi"/>
            <w:color w:val="auto"/>
            <w:u w:val="none"/>
          </w:rPr>
          <w:t>emia (HAA)</w:t>
        </w:r>
      </w:hyperlink>
      <w:r w:rsidR="005535DE" w:rsidRPr="000E545D">
        <w:rPr>
          <w:rFonts w:cstheme="minorHAnsi"/>
        </w:rPr>
        <w:t xml:space="preserve"> varies considerably </w:t>
      </w:r>
      <w:r w:rsidRPr="000E545D">
        <w:rPr>
          <w:rFonts w:cstheme="minorHAnsi"/>
        </w:rPr>
        <w:t>between hospitals.</w:t>
      </w:r>
      <w:r w:rsidR="005535DE" w:rsidRPr="000E545D">
        <w:rPr>
          <w:rFonts w:cstheme="minorHAnsi"/>
        </w:rPr>
        <w:t xml:space="preserve"> Adam C. Salisbury, M.D., from Saint Luke's Mid-American Heart Institute in Kansas City, Mo., and colleagues examined the incidence of HAA in a cohort of 17,676 patients with acute myocardial infarction without an</w:t>
      </w:r>
      <w:r w:rsidR="00AD25F3" w:rsidRPr="000E545D">
        <w:rPr>
          <w:rFonts w:cstheme="minorHAnsi"/>
        </w:rPr>
        <w:t>a</w:t>
      </w:r>
      <w:r w:rsidR="005535DE" w:rsidRPr="000E545D">
        <w:rPr>
          <w:rFonts w:cstheme="minorHAnsi"/>
        </w:rPr>
        <w:t>emia at admission.</w:t>
      </w:r>
      <w:r w:rsidR="00AD25F3" w:rsidRPr="000E545D">
        <w:rPr>
          <w:rFonts w:cstheme="minorHAnsi"/>
        </w:rPr>
        <w:t xml:space="preserve"> They concluded: </w:t>
      </w:r>
      <w:r w:rsidR="003A161B">
        <w:rPr>
          <w:rFonts w:cstheme="minorHAnsi"/>
        </w:rPr>
        <w:t>"</w:t>
      </w:r>
      <w:r w:rsidR="005535DE" w:rsidRPr="000E545D">
        <w:rPr>
          <w:rFonts w:cstheme="minorHAnsi"/>
        </w:rPr>
        <w:t xml:space="preserve">we observed significant variability in the incidence of HAA across hospitals and found a lower risk of HAA at teaching </w:t>
      </w:r>
      <w:proofErr w:type="spellStart"/>
      <w:r w:rsidR="005535DE" w:rsidRPr="000E545D">
        <w:rPr>
          <w:rFonts w:cstheme="minorHAnsi"/>
        </w:rPr>
        <w:t>centers</w:t>
      </w:r>
      <w:proofErr w:type="spellEnd"/>
      <w:r w:rsidR="005535DE" w:rsidRPr="000E545D">
        <w:rPr>
          <w:rFonts w:cstheme="minorHAnsi"/>
        </w:rPr>
        <w:t xml:space="preserve">, suggesting that qualitative studies of the relation between HAA and processes of care are needed to identify targets for quality </w:t>
      </w:r>
      <w:r w:rsidR="00AD25F3" w:rsidRPr="000E545D">
        <w:rPr>
          <w:rFonts w:cstheme="minorHAnsi"/>
        </w:rPr>
        <w:t>improvement</w:t>
      </w:r>
      <w:r w:rsidR="005535DE" w:rsidRPr="000E545D">
        <w:rPr>
          <w:rFonts w:cstheme="minorHAnsi"/>
        </w:rPr>
        <w:t>"</w:t>
      </w:r>
      <w:r w:rsidR="00AD25F3" w:rsidRPr="000E545D">
        <w:rPr>
          <w:rFonts w:cstheme="minorHAnsi"/>
        </w:rPr>
        <w:t>.</w:t>
      </w:r>
    </w:p>
    <w:p w:rsidR="000B0BC7" w:rsidRPr="000E545D" w:rsidRDefault="000B0BC7" w:rsidP="000B0BC7">
      <w:pPr>
        <w:pStyle w:val="ListParagraph"/>
        <w:numPr>
          <w:ilvl w:val="1"/>
          <w:numId w:val="11"/>
        </w:numPr>
        <w:spacing w:line="240" w:lineRule="auto"/>
        <w:rPr>
          <w:rFonts w:cstheme="minorHAnsi"/>
        </w:rPr>
      </w:pPr>
      <w:r w:rsidRPr="000E545D">
        <w:rPr>
          <w:rFonts w:cstheme="minorHAnsi"/>
        </w:rPr>
        <w:t>Another US study</w:t>
      </w:r>
      <w:r w:rsidRPr="000E545D">
        <w:rPr>
          <w:rStyle w:val="FootnoteReference"/>
          <w:rFonts w:cstheme="minorHAnsi"/>
        </w:rPr>
        <w:footnoteReference w:id="8"/>
      </w:r>
      <w:r w:rsidRPr="000E545D">
        <w:rPr>
          <w:rFonts w:cstheme="minorHAnsi"/>
        </w:rPr>
        <w:t xml:space="preserve"> identified considerable variation across US hospitals in the rate of major bleeding events among patients with non-STEMI or</w:t>
      </w:r>
      <w:r w:rsidRPr="000E545D">
        <w:rPr>
          <w:rFonts w:cstheme="minorHAnsi"/>
          <w:color w:val="333333"/>
          <w:lang w:val="en"/>
        </w:rPr>
        <w:t xml:space="preserve"> "non-ST segment elevation myocardial infarction"</w:t>
      </w:r>
      <w:r w:rsidRPr="000E545D">
        <w:rPr>
          <w:rStyle w:val="FootnoteReference"/>
          <w:rFonts w:cstheme="minorHAnsi"/>
          <w:color w:val="333333"/>
          <w:lang w:val="en"/>
        </w:rPr>
        <w:footnoteReference w:id="9"/>
      </w:r>
      <w:r w:rsidRPr="000E545D">
        <w:rPr>
          <w:rFonts w:cstheme="minorHAnsi"/>
          <w:color w:val="333333"/>
          <w:lang w:val="en"/>
        </w:rPr>
        <w:t>. It included 99,200 patients (</w:t>
      </w:r>
      <w:r w:rsidRPr="000E545D">
        <w:rPr>
          <w:rFonts w:cstheme="minorHAnsi"/>
        </w:rPr>
        <w:t>at 267 hospitals) enrolled in the National Cardiovascular Data Registry (NCDR) Acute Coronary Treatment and Intervention Outcomes Network Registry between January 2007 and June 2010.</w:t>
      </w:r>
    </w:p>
    <w:p w:rsidR="007D4A5F" w:rsidRPr="000E545D" w:rsidRDefault="00AD25F3" w:rsidP="003B345B">
      <w:pPr>
        <w:pStyle w:val="ListParagraph"/>
        <w:numPr>
          <w:ilvl w:val="1"/>
          <w:numId w:val="11"/>
        </w:numPr>
        <w:spacing w:line="240" w:lineRule="auto"/>
        <w:rPr>
          <w:rFonts w:cstheme="minorHAnsi"/>
        </w:rPr>
      </w:pPr>
      <w:r w:rsidRPr="000E545D">
        <w:rPr>
          <w:rFonts w:eastAsia="Times New Roman" w:cstheme="minorHAnsi"/>
        </w:rPr>
        <w:t xml:space="preserve">In Ontario, Canada </w:t>
      </w:r>
      <w:r w:rsidR="00755685" w:rsidRPr="000E545D">
        <w:rPr>
          <w:rFonts w:cstheme="minorHAnsi"/>
        </w:rPr>
        <w:t xml:space="preserve">Health Minister Deb Matthews introduced </w:t>
      </w:r>
      <w:hyperlink r:id="rId14" w:history="1">
        <w:r w:rsidR="00755685" w:rsidRPr="000E545D">
          <w:rPr>
            <w:rStyle w:val="Hyperlink"/>
            <w:rFonts w:cstheme="minorHAnsi"/>
            <w:color w:val="auto"/>
            <w:u w:val="none"/>
          </w:rPr>
          <w:t>legislation</w:t>
        </w:r>
      </w:hyperlink>
      <w:r w:rsidR="00755685" w:rsidRPr="000E545D">
        <w:rPr>
          <w:rFonts w:cstheme="minorHAnsi"/>
        </w:rPr>
        <w:t xml:space="preserve"> </w:t>
      </w:r>
      <w:r w:rsidRPr="000E545D">
        <w:rPr>
          <w:rFonts w:cstheme="minorHAnsi"/>
        </w:rPr>
        <w:t xml:space="preserve">on 20 </w:t>
      </w:r>
      <w:r w:rsidR="00755685" w:rsidRPr="000E545D">
        <w:rPr>
          <w:rFonts w:cstheme="minorHAnsi"/>
        </w:rPr>
        <w:t xml:space="preserve">March </w:t>
      </w:r>
      <w:r w:rsidRPr="000E545D">
        <w:rPr>
          <w:rFonts w:cstheme="minorHAnsi"/>
        </w:rPr>
        <w:t>t</w:t>
      </w:r>
      <w:r w:rsidR="00755685" w:rsidRPr="000E545D">
        <w:rPr>
          <w:rFonts w:cstheme="minorHAnsi"/>
        </w:rPr>
        <w:t xml:space="preserve">o ban pay-for-plasma </w:t>
      </w:r>
      <w:r w:rsidRPr="000E545D">
        <w:rPr>
          <w:rFonts w:cstheme="minorHAnsi"/>
        </w:rPr>
        <w:t xml:space="preserve">clinics </w:t>
      </w:r>
      <w:r w:rsidR="00755685" w:rsidRPr="000E545D">
        <w:rPr>
          <w:rFonts w:cstheme="minorHAnsi"/>
        </w:rPr>
        <w:t xml:space="preserve">in Ontario and </w:t>
      </w:r>
      <w:r w:rsidRPr="000E545D">
        <w:rPr>
          <w:rFonts w:cstheme="minorHAnsi"/>
        </w:rPr>
        <w:t>urged her</w:t>
      </w:r>
      <w:r w:rsidR="00755685" w:rsidRPr="000E545D">
        <w:rPr>
          <w:rFonts w:cstheme="minorHAnsi"/>
        </w:rPr>
        <w:t xml:space="preserve"> counterparts </w:t>
      </w:r>
      <w:r w:rsidR="005D56B3" w:rsidRPr="000E545D">
        <w:rPr>
          <w:rFonts w:cstheme="minorHAnsi"/>
        </w:rPr>
        <w:t>in other provinces to do the same)</w:t>
      </w:r>
      <w:r w:rsidR="005D56B3" w:rsidRPr="000E545D">
        <w:rPr>
          <w:rStyle w:val="FootnoteReference"/>
          <w:rFonts w:cstheme="minorHAnsi"/>
        </w:rPr>
        <w:footnoteReference w:id="10"/>
      </w:r>
      <w:r w:rsidR="005D56B3" w:rsidRPr="000E545D">
        <w:rPr>
          <w:rFonts w:cstheme="minorHAnsi"/>
        </w:rPr>
        <w:t xml:space="preserve">. </w:t>
      </w:r>
      <w:r w:rsidR="007D4A5F" w:rsidRPr="000E545D">
        <w:rPr>
          <w:rFonts w:cstheme="minorHAnsi"/>
        </w:rPr>
        <w:t>T</w:t>
      </w:r>
      <w:r w:rsidR="00755685" w:rsidRPr="000E545D">
        <w:rPr>
          <w:rFonts w:cstheme="minorHAnsi"/>
        </w:rPr>
        <w:t xml:space="preserve">he </w:t>
      </w:r>
      <w:proofErr w:type="spellStart"/>
      <w:r w:rsidR="00755685" w:rsidRPr="000E545D">
        <w:rPr>
          <w:rFonts w:cstheme="minorHAnsi"/>
        </w:rPr>
        <w:t>Krever</w:t>
      </w:r>
      <w:proofErr w:type="spellEnd"/>
      <w:r w:rsidR="00755685" w:rsidRPr="000E545D">
        <w:rPr>
          <w:rFonts w:cstheme="minorHAnsi"/>
        </w:rPr>
        <w:t xml:space="preserve"> Commission </w:t>
      </w:r>
      <w:r w:rsidR="007D4A5F" w:rsidRPr="000E545D">
        <w:rPr>
          <w:rFonts w:cstheme="minorHAnsi"/>
        </w:rPr>
        <w:t>(</w:t>
      </w:r>
      <w:r w:rsidR="00755685" w:rsidRPr="000E545D">
        <w:rPr>
          <w:rFonts w:cstheme="minorHAnsi"/>
        </w:rPr>
        <w:t xml:space="preserve">into the blood </w:t>
      </w:r>
      <w:r w:rsidR="007D4A5F" w:rsidRPr="000E545D">
        <w:rPr>
          <w:rFonts w:cstheme="minorHAnsi"/>
        </w:rPr>
        <w:t>contamination</w:t>
      </w:r>
      <w:r w:rsidR="00755685" w:rsidRPr="000E545D">
        <w:rPr>
          <w:rFonts w:cstheme="minorHAnsi"/>
        </w:rPr>
        <w:t xml:space="preserve"> that left 30,000 Canadians with HIV and hepatitis C</w:t>
      </w:r>
      <w:r w:rsidR="007D4A5F" w:rsidRPr="000E545D">
        <w:rPr>
          <w:rFonts w:cstheme="minorHAnsi"/>
        </w:rPr>
        <w:t>)</w:t>
      </w:r>
      <w:r w:rsidR="00755685" w:rsidRPr="000E545D">
        <w:rPr>
          <w:rFonts w:cstheme="minorHAnsi"/>
        </w:rPr>
        <w:t xml:space="preserve">, recommended in 1997 that donors of blood and plasma should not be paid except in rare circumstances. For the past </w:t>
      </w:r>
      <w:r w:rsidR="007D4A5F" w:rsidRPr="000E545D">
        <w:rPr>
          <w:rFonts w:cstheme="minorHAnsi"/>
        </w:rPr>
        <w:t xml:space="preserve">three decades </w:t>
      </w:r>
      <w:r w:rsidR="00755685" w:rsidRPr="000E545D">
        <w:rPr>
          <w:rFonts w:cstheme="minorHAnsi"/>
        </w:rPr>
        <w:t>Ca</w:t>
      </w:r>
      <w:r w:rsidR="007D4A5F" w:rsidRPr="000E545D">
        <w:rPr>
          <w:rFonts w:cstheme="minorHAnsi"/>
        </w:rPr>
        <w:t>n</w:t>
      </w:r>
      <w:r w:rsidR="00755685" w:rsidRPr="000E545D">
        <w:rPr>
          <w:rFonts w:cstheme="minorHAnsi"/>
        </w:rPr>
        <w:t>gene Corp</w:t>
      </w:r>
      <w:r w:rsidR="007D4A5F" w:rsidRPr="000E545D">
        <w:rPr>
          <w:rFonts w:cstheme="minorHAnsi"/>
        </w:rPr>
        <w:t>oration</w:t>
      </w:r>
      <w:r w:rsidR="00755685" w:rsidRPr="000E545D">
        <w:rPr>
          <w:rFonts w:cstheme="minorHAnsi"/>
        </w:rPr>
        <w:t xml:space="preserve"> in Winnipeg has been licensed by Health Canada to pay donors for</w:t>
      </w:r>
      <w:r w:rsidR="007D4A5F" w:rsidRPr="000E545D">
        <w:rPr>
          <w:rFonts w:cstheme="minorHAnsi"/>
        </w:rPr>
        <w:t xml:space="preserve"> specialised</w:t>
      </w:r>
      <w:r w:rsidR="00755685" w:rsidRPr="000E545D">
        <w:rPr>
          <w:rFonts w:cstheme="minorHAnsi"/>
        </w:rPr>
        <w:t xml:space="preserve"> plasma.</w:t>
      </w:r>
      <w:r w:rsidR="007D4A5F" w:rsidRPr="000E545D">
        <w:rPr>
          <w:rFonts w:cstheme="minorHAnsi"/>
        </w:rPr>
        <w:t xml:space="preserve"> </w:t>
      </w:r>
      <w:r w:rsidR="00755685" w:rsidRPr="000E545D">
        <w:rPr>
          <w:rFonts w:cstheme="minorHAnsi"/>
        </w:rPr>
        <w:t>Canada imports the majority of its plasma products from the U</w:t>
      </w:r>
      <w:r w:rsidR="007D4A5F" w:rsidRPr="000E545D">
        <w:rPr>
          <w:rFonts w:cstheme="minorHAnsi"/>
        </w:rPr>
        <w:t>S, where some donors are paid. Now Health Canada and Canadian Blood Services support the introduction of privately owned pay-for-plasma clinics in Canada.</w:t>
      </w:r>
    </w:p>
    <w:p w:rsidR="00457AA6" w:rsidRDefault="00916DE9" w:rsidP="003B345B">
      <w:pPr>
        <w:pStyle w:val="ListParagraph"/>
        <w:numPr>
          <w:ilvl w:val="1"/>
          <w:numId w:val="11"/>
        </w:numPr>
        <w:spacing w:line="240" w:lineRule="auto"/>
        <w:rPr>
          <w:rFonts w:cstheme="minorHAnsi"/>
        </w:rPr>
      </w:pPr>
      <w:r w:rsidRPr="000E545D">
        <w:rPr>
          <w:rFonts w:cstheme="minorHAnsi"/>
          <w:color w:val="333333"/>
          <w:lang w:val="en"/>
        </w:rPr>
        <w:t xml:space="preserve">Researchers found </w:t>
      </w:r>
      <w:r w:rsidR="00FE6465" w:rsidRPr="000E545D">
        <w:rPr>
          <w:rFonts w:cstheme="minorHAnsi"/>
        </w:rPr>
        <w:t>patient factors and treatments explained less than one-th</w:t>
      </w:r>
      <w:r w:rsidR="0055427C" w:rsidRPr="000E545D">
        <w:rPr>
          <w:rFonts w:cstheme="minorHAnsi"/>
        </w:rPr>
        <w:t xml:space="preserve">ird of hospital-level variation. They concluded: </w:t>
      </w:r>
      <w:r w:rsidR="00FE6465" w:rsidRPr="000E545D">
        <w:rPr>
          <w:rFonts w:cstheme="minorHAnsi"/>
        </w:rPr>
        <w:t xml:space="preserve">“A better understanding of </w:t>
      </w:r>
      <w:proofErr w:type="spellStart"/>
      <w:r w:rsidR="00FE6465" w:rsidRPr="000E545D">
        <w:rPr>
          <w:rFonts w:cstheme="minorHAnsi"/>
        </w:rPr>
        <w:t>etiologies</w:t>
      </w:r>
      <w:proofErr w:type="spellEnd"/>
      <w:r w:rsidR="00FE6465" w:rsidRPr="000E545D">
        <w:rPr>
          <w:rFonts w:cstheme="minorHAnsi"/>
        </w:rPr>
        <w:t xml:space="preserve"> of hospital variation in bleeding complications may help institutions target high-risk patients and provide optimal care in this population</w:t>
      </w:r>
      <w:r w:rsidR="0055427C" w:rsidRPr="000E545D">
        <w:rPr>
          <w:rFonts w:cstheme="minorHAnsi"/>
        </w:rPr>
        <w:t xml:space="preserve">. </w:t>
      </w:r>
    </w:p>
    <w:p w:rsidR="00457AA6" w:rsidRDefault="00457AA6">
      <w:pPr>
        <w:rPr>
          <w:rFonts w:cstheme="minorHAnsi"/>
        </w:rPr>
      </w:pPr>
      <w:r>
        <w:rPr>
          <w:rFonts w:cstheme="minorHAnsi"/>
        </w:rPr>
        <w:br w:type="page"/>
      </w:r>
    </w:p>
    <w:p w:rsidR="00B25A8D" w:rsidRPr="000E545D" w:rsidRDefault="00B25A8D" w:rsidP="00B25A8D">
      <w:pPr>
        <w:pStyle w:val="Heading1"/>
        <w:numPr>
          <w:ilvl w:val="0"/>
          <w:numId w:val="1"/>
        </w:numPr>
        <w:ind w:left="360"/>
        <w:rPr>
          <w:rFonts w:asciiTheme="minorHAnsi" w:hAnsiTheme="minorHAnsi" w:cstheme="minorHAnsi"/>
          <w:color w:val="FF0000"/>
        </w:rPr>
      </w:pPr>
      <w:bookmarkStart w:id="11" w:name="_Toc363109457"/>
      <w:bookmarkStart w:id="12" w:name="_Toc386454274"/>
      <w:r w:rsidRPr="000E545D">
        <w:rPr>
          <w:rFonts w:asciiTheme="minorHAnsi" w:hAnsiTheme="minorHAnsi" w:cstheme="minorHAnsi"/>
          <w:color w:val="FF0000"/>
        </w:rPr>
        <w:lastRenderedPageBreak/>
        <w:t>Safety and patient blood management</w:t>
      </w:r>
      <w:bookmarkEnd w:id="11"/>
      <w:bookmarkEnd w:id="12"/>
    </w:p>
    <w:p w:rsidR="00B25A8D" w:rsidRPr="000E545D" w:rsidRDefault="00B25A8D" w:rsidP="00B25A8D">
      <w:pPr>
        <w:rPr>
          <w:rFonts w:cstheme="minorHAnsi"/>
          <w:i/>
        </w:rPr>
      </w:pPr>
      <w:r w:rsidRPr="000E545D">
        <w:rPr>
          <w:rFonts w:cstheme="minorHAnsi"/>
          <w:i/>
        </w:rPr>
        <w:t>We follow current issues in patient safety and achieving favourable patient outcomes.</w:t>
      </w:r>
    </w:p>
    <w:p w:rsidR="00431822" w:rsidRPr="000E545D" w:rsidRDefault="00431822" w:rsidP="00431822">
      <w:pPr>
        <w:pStyle w:val="ListParagraph"/>
        <w:numPr>
          <w:ilvl w:val="1"/>
          <w:numId w:val="4"/>
        </w:numPr>
        <w:spacing w:line="240" w:lineRule="auto"/>
        <w:rPr>
          <w:rFonts w:cstheme="minorHAnsi"/>
        </w:rPr>
      </w:pPr>
      <w:r w:rsidRPr="000E545D">
        <w:rPr>
          <w:rFonts w:eastAsia="Times New Roman" w:cstheme="minorHAnsi"/>
        </w:rPr>
        <w:t xml:space="preserve">A study published in </w:t>
      </w:r>
      <w:proofErr w:type="spellStart"/>
      <w:r w:rsidRPr="000E545D">
        <w:rPr>
          <w:rFonts w:eastAsia="Times New Roman" w:cstheme="minorHAnsi"/>
          <w:i/>
        </w:rPr>
        <w:t>Vox</w:t>
      </w:r>
      <w:proofErr w:type="spellEnd"/>
      <w:r w:rsidRPr="000E545D">
        <w:rPr>
          <w:rFonts w:eastAsia="Times New Roman" w:cstheme="minorHAnsi"/>
          <w:i/>
        </w:rPr>
        <w:t xml:space="preserve"> </w:t>
      </w:r>
      <w:proofErr w:type="spellStart"/>
      <w:r w:rsidRPr="000E545D">
        <w:rPr>
          <w:rFonts w:eastAsia="Times New Roman" w:cstheme="minorHAnsi"/>
          <w:i/>
        </w:rPr>
        <w:t>Sanguinis</w:t>
      </w:r>
      <w:proofErr w:type="spellEnd"/>
      <w:r w:rsidRPr="000E545D">
        <w:rPr>
          <w:rFonts w:eastAsia="Times New Roman" w:cstheme="minorHAnsi"/>
          <w:i/>
        </w:rPr>
        <w:t xml:space="preserve"> </w:t>
      </w:r>
      <w:r w:rsidRPr="000E545D">
        <w:rPr>
          <w:rFonts w:eastAsia="Times New Roman" w:cstheme="minorHAnsi"/>
        </w:rPr>
        <w:t>in April</w:t>
      </w:r>
      <w:r w:rsidRPr="000E545D">
        <w:rPr>
          <w:rStyle w:val="FootnoteReference"/>
          <w:rFonts w:eastAsia="Times New Roman" w:cstheme="minorHAnsi"/>
        </w:rPr>
        <w:footnoteReference w:id="11"/>
      </w:r>
      <w:r w:rsidRPr="000E545D">
        <w:rPr>
          <w:rFonts w:eastAsia="Times New Roman" w:cstheme="minorHAnsi"/>
        </w:rPr>
        <w:t xml:space="preserve"> concluded that “t</w:t>
      </w:r>
      <w:r w:rsidRPr="000E545D">
        <w:rPr>
          <w:rFonts w:cstheme="minorHAnsi"/>
          <w:lang w:val="en"/>
        </w:rPr>
        <w:t xml:space="preserve">he susceptibility of stored red blood cells (RBCs) </w:t>
      </w:r>
      <w:r w:rsidR="00D93B47" w:rsidRPr="000E545D">
        <w:rPr>
          <w:rFonts w:cstheme="minorHAnsi"/>
          <w:lang w:val="en"/>
        </w:rPr>
        <w:t>t</w:t>
      </w:r>
      <w:r w:rsidRPr="000E545D">
        <w:rPr>
          <w:rFonts w:cstheme="minorHAnsi"/>
          <w:lang w:val="en"/>
        </w:rPr>
        <w:t xml:space="preserve">o </w:t>
      </w:r>
      <w:proofErr w:type="spellStart"/>
      <w:r w:rsidRPr="000E545D">
        <w:rPr>
          <w:rFonts w:cstheme="minorHAnsi"/>
          <w:lang w:val="en"/>
        </w:rPr>
        <w:t>erythrophagocytosis</w:t>
      </w:r>
      <w:proofErr w:type="spellEnd"/>
      <w:r w:rsidRPr="000E545D">
        <w:rPr>
          <w:rStyle w:val="FootnoteReference"/>
          <w:rFonts w:cstheme="minorHAnsi"/>
          <w:lang w:val="en"/>
        </w:rPr>
        <w:footnoteReference w:id="12"/>
      </w:r>
      <w:r w:rsidRPr="000E545D">
        <w:rPr>
          <w:rFonts w:cstheme="minorHAnsi"/>
          <w:lang w:val="en"/>
        </w:rPr>
        <w:t xml:space="preserve"> significantly increased with longer storage time of the RBC units. Storage duration of RBCs had a greater influence on </w:t>
      </w:r>
      <w:r w:rsidRPr="000E545D">
        <w:rPr>
          <w:rStyle w:val="Emphasis"/>
          <w:rFonts w:cstheme="minorHAnsi"/>
          <w:lang w:val="en"/>
        </w:rPr>
        <w:t>in vitro</w:t>
      </w:r>
      <w:r w:rsidRPr="000E545D">
        <w:rPr>
          <w:rFonts w:cstheme="minorHAnsi"/>
          <w:lang w:val="en"/>
        </w:rPr>
        <w:t xml:space="preserve"> </w:t>
      </w:r>
      <w:proofErr w:type="spellStart"/>
      <w:r w:rsidRPr="000E545D">
        <w:rPr>
          <w:rFonts w:cstheme="minorHAnsi"/>
          <w:lang w:val="en"/>
        </w:rPr>
        <w:t>erythrophagocytosis</w:t>
      </w:r>
      <w:proofErr w:type="spellEnd"/>
      <w:r w:rsidRPr="000E545D">
        <w:rPr>
          <w:rFonts w:cstheme="minorHAnsi"/>
          <w:lang w:val="en"/>
        </w:rPr>
        <w:t xml:space="preserve"> than the chronological age of the RBCs at donation.”</w:t>
      </w:r>
    </w:p>
    <w:p w:rsidR="000B0BC7" w:rsidRPr="000E545D" w:rsidRDefault="000B0BC7" w:rsidP="000B0BC7">
      <w:pPr>
        <w:pStyle w:val="ListParagraph"/>
        <w:numPr>
          <w:ilvl w:val="1"/>
          <w:numId w:val="4"/>
        </w:numPr>
        <w:spacing w:line="240" w:lineRule="auto"/>
        <w:rPr>
          <w:rFonts w:cstheme="minorHAnsi"/>
        </w:rPr>
      </w:pPr>
      <w:r w:rsidRPr="000E545D">
        <w:rPr>
          <w:rFonts w:eastAsia="Times New Roman" w:cstheme="minorHAnsi"/>
          <w:lang w:eastAsia="en-AU"/>
        </w:rPr>
        <w:t>Research at t</w:t>
      </w:r>
      <w:r w:rsidRPr="000E545D">
        <w:rPr>
          <w:rFonts w:cstheme="minorHAnsi"/>
        </w:rPr>
        <w:t>he University of Alabama</w:t>
      </w:r>
      <w:r w:rsidRPr="000E545D">
        <w:rPr>
          <w:rStyle w:val="FootnoteReference"/>
          <w:rFonts w:cstheme="minorHAnsi"/>
        </w:rPr>
        <w:footnoteReference w:id="13"/>
      </w:r>
      <w:r w:rsidRPr="000E545D">
        <w:rPr>
          <w:rFonts w:cstheme="minorHAnsi"/>
        </w:rPr>
        <w:t xml:space="preserve"> has examined adherence to a restrictive transfusion policy in </w:t>
      </w:r>
      <w:hyperlink r:id="rId15" w:tooltip="Having to do with the female reproductive tract (including the cervix, endometrium, fallopian tubes, ovaries, uterus, and vagina)." w:history="1">
        <w:r w:rsidRPr="000E545D">
          <w:rPr>
            <w:rStyle w:val="Hyperlink"/>
            <w:rFonts w:cstheme="minorHAnsi"/>
            <w:color w:val="auto"/>
            <w:u w:val="none"/>
          </w:rPr>
          <w:t>gynaecologic</w:t>
        </w:r>
      </w:hyperlink>
      <w:r w:rsidRPr="000E545D">
        <w:rPr>
          <w:rFonts w:cstheme="minorHAnsi"/>
        </w:rPr>
        <w:t xml:space="preserve"> </w:t>
      </w:r>
      <w:hyperlink r:id="rId16" w:tooltip="The study of cancer." w:history="1">
        <w:r w:rsidRPr="000E545D">
          <w:rPr>
            <w:rStyle w:val="Hyperlink"/>
            <w:rFonts w:cstheme="minorHAnsi"/>
            <w:color w:val="auto"/>
            <w:u w:val="none"/>
          </w:rPr>
          <w:t>oncology</w:t>
        </w:r>
      </w:hyperlink>
      <w:r w:rsidRPr="000E545D">
        <w:rPr>
          <w:rFonts w:cstheme="minorHAnsi"/>
        </w:rPr>
        <w:t xml:space="preserve"> patients. They undertook a retrospective chart review of 582 patients</w:t>
      </w:r>
      <w:r w:rsidRPr="000E545D">
        <w:rPr>
          <w:rStyle w:val="FootnoteReference"/>
          <w:rFonts w:cstheme="minorHAnsi"/>
        </w:rPr>
        <w:footnoteReference w:id="14"/>
      </w:r>
      <w:r w:rsidRPr="000E545D">
        <w:rPr>
          <w:rFonts w:cstheme="minorHAnsi"/>
        </w:rPr>
        <w:t xml:space="preserve"> undergoing 2,276 transfusions with packed red blood cells from December 2008 to September 2011. Cancer type and stage, surgical procedure, </w:t>
      </w:r>
      <w:hyperlink r:id="rId17" w:tooltip="The substance inside red blood cells that binds to oxygen and carries it from the lungs to the tissues." w:history="1">
        <w:r w:rsidRPr="000E545D">
          <w:rPr>
            <w:rStyle w:val="Hyperlink"/>
            <w:rFonts w:cstheme="minorHAnsi"/>
            <w:color w:val="auto"/>
            <w:u w:val="none"/>
          </w:rPr>
          <w:t>haemoglobin</w:t>
        </w:r>
      </w:hyperlink>
      <w:r w:rsidRPr="000E545D">
        <w:rPr>
          <w:rFonts w:cstheme="minorHAnsi"/>
        </w:rPr>
        <w:t xml:space="preserve"> values, transfusions with packed red blood cells, intraoperative blood loss, and </w:t>
      </w:r>
      <w:hyperlink r:id="rId18" w:tooltip="After surgery." w:history="1">
        <w:r w:rsidRPr="000E545D">
          <w:rPr>
            <w:rStyle w:val="Hyperlink"/>
            <w:rFonts w:cstheme="minorHAnsi"/>
            <w:color w:val="auto"/>
            <w:u w:val="none"/>
          </w:rPr>
          <w:t>postoperative</w:t>
        </w:r>
      </w:hyperlink>
      <w:r w:rsidRPr="000E545D">
        <w:rPr>
          <w:rFonts w:cstheme="minorHAnsi"/>
        </w:rPr>
        <w:t xml:space="preserve"> complications were considered. Transfusions were identified as compliant or noncompliant. Gynaecologic oncologists were 81.1per cent compliant with the restrictive transfusion policy. Noncompliant transfusions were usually given on the day of surgery when intraoperative blood loss was less than 1500 cc, and for </w:t>
      </w:r>
      <w:hyperlink r:id="rId19" w:tooltip="Having no signs or symptoms of disease." w:history="1">
        <w:r w:rsidRPr="000E545D">
          <w:rPr>
            <w:rStyle w:val="Hyperlink"/>
            <w:rFonts w:cstheme="minorHAnsi"/>
            <w:color w:val="auto"/>
            <w:u w:val="none"/>
          </w:rPr>
          <w:t>asymptomatic</w:t>
        </w:r>
      </w:hyperlink>
      <w:r w:rsidRPr="000E545D">
        <w:rPr>
          <w:rFonts w:cstheme="minorHAnsi"/>
        </w:rPr>
        <w:t xml:space="preserve"> </w:t>
      </w:r>
      <w:hyperlink r:id="rId20" w:tooltip="A condition in which the number of red blood cells is below normal." w:history="1">
        <w:r w:rsidRPr="000E545D">
          <w:rPr>
            <w:rStyle w:val="Hyperlink"/>
            <w:rFonts w:cstheme="minorHAnsi"/>
            <w:color w:val="auto"/>
            <w:u w:val="none"/>
          </w:rPr>
          <w:t>anaemia</w:t>
        </w:r>
      </w:hyperlink>
      <w:r w:rsidRPr="000E545D">
        <w:rPr>
          <w:rFonts w:cstheme="minorHAnsi"/>
        </w:rPr>
        <w:t xml:space="preserve">. Transfusions ordered in single unit increments represented 64.7 of the total. Compliant and noncompliant transfusions showed no significant difference in postoperative infections, thrombotic events, and mortality. The majority of gynaecologic oncology patients received transfusions compliant with the restrictive transfusion policy. Researchers </w:t>
      </w:r>
      <w:r w:rsidR="003A161B" w:rsidRPr="000E545D">
        <w:rPr>
          <w:rFonts w:cstheme="minorHAnsi"/>
        </w:rPr>
        <w:t>concluded “</w:t>
      </w:r>
      <w:r w:rsidRPr="000E545D">
        <w:rPr>
          <w:rFonts w:cstheme="minorHAnsi"/>
        </w:rPr>
        <w:t xml:space="preserve">Efforts to improve compliance should focus on limiting transfusions when the </w:t>
      </w:r>
      <w:proofErr w:type="spellStart"/>
      <w:r w:rsidRPr="000E545D">
        <w:rPr>
          <w:rFonts w:cstheme="minorHAnsi"/>
        </w:rPr>
        <w:t>hemoglobin</w:t>
      </w:r>
      <w:proofErr w:type="spellEnd"/>
      <w:r w:rsidRPr="000E545D">
        <w:rPr>
          <w:rFonts w:cstheme="minorHAnsi"/>
        </w:rPr>
        <w:t xml:space="preserve"> is &gt;= 7 g/</w:t>
      </w:r>
      <w:proofErr w:type="spellStart"/>
      <w:r w:rsidRPr="000E545D">
        <w:rPr>
          <w:rFonts w:cstheme="minorHAnsi"/>
        </w:rPr>
        <w:t>dL</w:t>
      </w:r>
      <w:proofErr w:type="spellEnd"/>
      <w:r w:rsidRPr="000E545D">
        <w:rPr>
          <w:rFonts w:cstheme="minorHAnsi"/>
        </w:rPr>
        <w:t xml:space="preserve"> and transfusing in single packed red blood cell unit increments."</w:t>
      </w:r>
    </w:p>
    <w:p w:rsidR="000B0BC7" w:rsidRPr="000E545D" w:rsidRDefault="000B0BC7" w:rsidP="000B0BC7">
      <w:pPr>
        <w:pStyle w:val="ListParagraph"/>
        <w:numPr>
          <w:ilvl w:val="1"/>
          <w:numId w:val="4"/>
        </w:numPr>
        <w:spacing w:line="240" w:lineRule="auto"/>
        <w:rPr>
          <w:rFonts w:eastAsia="HYGothic-Extra" w:cstheme="minorHAnsi"/>
        </w:rPr>
      </w:pPr>
      <w:r w:rsidRPr="000E545D">
        <w:rPr>
          <w:rFonts w:cstheme="minorHAnsi"/>
        </w:rPr>
        <w:t>Beginning in the 1960s a number of countries have given pregnant women who are Rhesus D (</w:t>
      </w:r>
      <w:proofErr w:type="spellStart"/>
      <w:r w:rsidRPr="000E545D">
        <w:rPr>
          <w:rFonts w:cstheme="minorHAnsi"/>
        </w:rPr>
        <w:t>RhD</w:t>
      </w:r>
      <w:proofErr w:type="spellEnd"/>
      <w:r w:rsidRPr="000E545D">
        <w:rPr>
          <w:rFonts w:cstheme="minorHAnsi"/>
        </w:rPr>
        <w:t>) negative Anti D immunoglobulin to reduce the incidence of haemolytic disease of the foetus and new-born</w:t>
      </w:r>
      <w:r w:rsidRPr="000E545D">
        <w:rPr>
          <w:rStyle w:val="FootnoteReference"/>
          <w:rFonts w:cstheme="minorHAnsi"/>
        </w:rPr>
        <w:footnoteReference w:id="15"/>
      </w:r>
      <w:r w:rsidRPr="000E545D">
        <w:rPr>
          <w:rFonts w:cstheme="minorHAnsi"/>
        </w:rPr>
        <w:t xml:space="preserve">. This routine was adopted as it was not then possible to identify the foetal blood group. Since 1997 it has been possible to determine foetal blood group </w:t>
      </w:r>
      <w:r w:rsidR="00395D9E" w:rsidRPr="000E545D">
        <w:rPr>
          <w:rFonts w:cstheme="minorHAnsi"/>
        </w:rPr>
        <w:t xml:space="preserve">by testing the mother’s blood </w:t>
      </w:r>
      <w:r w:rsidRPr="000E545D">
        <w:rPr>
          <w:rFonts w:cstheme="minorHAnsi"/>
        </w:rPr>
        <w:t>and researchers are now questioning on ethical grounds routine treatment with Anti D immunoglobulin</w:t>
      </w:r>
      <w:r w:rsidRPr="000E545D">
        <w:rPr>
          <w:rStyle w:val="FootnoteReference"/>
          <w:rFonts w:cstheme="minorHAnsi"/>
        </w:rPr>
        <w:footnoteReference w:id="16"/>
      </w:r>
      <w:r w:rsidRPr="000E545D">
        <w:rPr>
          <w:rFonts w:cstheme="minorHAnsi"/>
        </w:rPr>
        <w:t>.</w:t>
      </w:r>
    </w:p>
    <w:p w:rsidR="00431822" w:rsidRPr="000E545D" w:rsidRDefault="00431822" w:rsidP="00431822">
      <w:pPr>
        <w:pStyle w:val="ListParagraph"/>
        <w:numPr>
          <w:ilvl w:val="1"/>
          <w:numId w:val="4"/>
        </w:numPr>
        <w:spacing w:line="240" w:lineRule="auto"/>
        <w:rPr>
          <w:rFonts w:cstheme="minorHAnsi"/>
        </w:rPr>
      </w:pPr>
      <w:r w:rsidRPr="000E545D">
        <w:rPr>
          <w:rFonts w:cstheme="minorHAnsi"/>
        </w:rPr>
        <w:t>Daiichi Sankyo reported data from two pre-specified subgroup analyses of East Asian patients</w:t>
      </w:r>
      <w:r w:rsidRPr="000E545D">
        <w:rPr>
          <w:rStyle w:val="FootnoteReference"/>
          <w:rFonts w:cstheme="minorHAnsi"/>
        </w:rPr>
        <w:footnoteReference w:id="17"/>
      </w:r>
      <w:r w:rsidRPr="000E545D">
        <w:rPr>
          <w:rFonts w:cstheme="minorHAnsi"/>
        </w:rPr>
        <w:t xml:space="preserve"> with venous thromboembolism (VTE) or non-valvular atrial fibrillation (NVAF) enrolled in two Phase III </w:t>
      </w:r>
      <w:proofErr w:type="spellStart"/>
      <w:r w:rsidRPr="000E545D">
        <w:rPr>
          <w:rFonts w:cstheme="minorHAnsi"/>
        </w:rPr>
        <w:t>edoxaban</w:t>
      </w:r>
      <w:proofErr w:type="spellEnd"/>
      <w:r w:rsidRPr="000E545D">
        <w:rPr>
          <w:rFonts w:cstheme="minorHAnsi"/>
        </w:rPr>
        <w:t xml:space="preserve"> studies. The findings of the two subgroup analyses of 1,101 East Asian patients enrolled in the Hokusai-VTE study and 1,943 East Asian patients enrolled in the ENGAGE AF-TIMI 48 study were consistent with </w:t>
      </w:r>
      <w:r w:rsidR="00BC113C" w:rsidRPr="000E545D">
        <w:rPr>
          <w:rFonts w:cstheme="minorHAnsi"/>
        </w:rPr>
        <w:t>findings in</w:t>
      </w:r>
      <w:r w:rsidRPr="000E545D">
        <w:rPr>
          <w:rFonts w:cstheme="minorHAnsi"/>
        </w:rPr>
        <w:t xml:space="preserve"> global study populations. These showed </w:t>
      </w:r>
      <w:proofErr w:type="spellStart"/>
      <w:r w:rsidRPr="000E545D">
        <w:rPr>
          <w:rFonts w:cstheme="minorHAnsi"/>
        </w:rPr>
        <w:t>edoxaban</w:t>
      </w:r>
      <w:proofErr w:type="spellEnd"/>
      <w:r w:rsidRPr="000E545D">
        <w:rPr>
          <w:rFonts w:cstheme="minorHAnsi"/>
        </w:rPr>
        <w:t xml:space="preserve"> was comparable with warfarin for the treatment and prevention of VTE and for the prevention of str</w:t>
      </w:r>
      <w:r w:rsidR="00D93B47" w:rsidRPr="000E545D">
        <w:rPr>
          <w:rFonts w:cstheme="minorHAnsi"/>
        </w:rPr>
        <w:t xml:space="preserve">oke or systemic embolic events </w:t>
      </w:r>
      <w:r w:rsidRPr="000E545D">
        <w:rPr>
          <w:rFonts w:cstheme="minorHAnsi"/>
        </w:rPr>
        <w:t>in NVAF patients.</w:t>
      </w:r>
    </w:p>
    <w:p w:rsidR="00431822" w:rsidRPr="000E545D" w:rsidRDefault="00431822" w:rsidP="00431822">
      <w:pPr>
        <w:pStyle w:val="ListParagraph"/>
        <w:numPr>
          <w:ilvl w:val="1"/>
          <w:numId w:val="4"/>
        </w:numPr>
        <w:spacing w:line="240" w:lineRule="auto"/>
        <w:rPr>
          <w:rFonts w:eastAsia="HYGothic-Extra" w:cstheme="minorHAnsi"/>
        </w:rPr>
      </w:pPr>
      <w:r w:rsidRPr="000E545D">
        <w:rPr>
          <w:rFonts w:cstheme="minorHAnsi"/>
        </w:rPr>
        <w:lastRenderedPageBreak/>
        <w:t xml:space="preserve">Portola Pharmaceuticals began a Phase II proof-of-concept study to evaluate its Factor </w:t>
      </w:r>
      <w:proofErr w:type="spellStart"/>
      <w:r w:rsidRPr="000E545D">
        <w:rPr>
          <w:rFonts w:cstheme="minorHAnsi"/>
        </w:rPr>
        <w:t>Xa</w:t>
      </w:r>
      <w:proofErr w:type="spellEnd"/>
      <w:r w:rsidRPr="000E545D">
        <w:rPr>
          <w:rFonts w:cstheme="minorHAnsi"/>
        </w:rPr>
        <w:t xml:space="preserve"> inhibitor reversal agent </w:t>
      </w:r>
      <w:proofErr w:type="spellStart"/>
      <w:r w:rsidRPr="000E545D">
        <w:rPr>
          <w:rFonts w:cstheme="minorHAnsi"/>
        </w:rPr>
        <w:t>andexanet</w:t>
      </w:r>
      <w:proofErr w:type="spellEnd"/>
      <w:r w:rsidRPr="000E545D">
        <w:rPr>
          <w:rFonts w:cstheme="minorHAnsi"/>
        </w:rPr>
        <w:t xml:space="preserve"> alfa as a reversal agent for Daiichi Sankyo's oral, once-daily, direct Factor </w:t>
      </w:r>
      <w:proofErr w:type="spellStart"/>
      <w:r w:rsidRPr="000E545D">
        <w:rPr>
          <w:rFonts w:cstheme="minorHAnsi"/>
        </w:rPr>
        <w:t>Xa</w:t>
      </w:r>
      <w:proofErr w:type="spellEnd"/>
      <w:r w:rsidRPr="000E545D">
        <w:rPr>
          <w:rFonts w:cstheme="minorHAnsi"/>
        </w:rPr>
        <w:t xml:space="preserve"> inhibitor </w:t>
      </w:r>
      <w:proofErr w:type="spellStart"/>
      <w:r w:rsidRPr="000E545D">
        <w:rPr>
          <w:rFonts w:cstheme="minorHAnsi"/>
        </w:rPr>
        <w:t>edoxaban</w:t>
      </w:r>
      <w:proofErr w:type="spellEnd"/>
      <w:r w:rsidRPr="000E545D">
        <w:rPr>
          <w:rFonts w:cstheme="minorHAnsi"/>
        </w:rPr>
        <w:t xml:space="preserve"> in healthy volunteers. </w:t>
      </w:r>
      <w:proofErr w:type="spellStart"/>
      <w:r w:rsidRPr="000E545D">
        <w:rPr>
          <w:rFonts w:cstheme="minorHAnsi"/>
        </w:rPr>
        <w:t>Andexanet</w:t>
      </w:r>
      <w:proofErr w:type="spellEnd"/>
      <w:r w:rsidRPr="000E545D">
        <w:rPr>
          <w:rFonts w:cstheme="minorHAnsi"/>
        </w:rPr>
        <w:t xml:space="preserve"> alfa has been designated a breakthrough therapy by the FDA. </w:t>
      </w:r>
    </w:p>
    <w:p w:rsidR="00B25A8D" w:rsidRPr="000E545D" w:rsidRDefault="00B25A8D" w:rsidP="00B25A8D">
      <w:pPr>
        <w:pStyle w:val="Heading1"/>
        <w:numPr>
          <w:ilvl w:val="0"/>
          <w:numId w:val="1"/>
        </w:numPr>
        <w:ind w:left="360"/>
        <w:rPr>
          <w:rFonts w:asciiTheme="minorHAnsi" w:hAnsiTheme="minorHAnsi" w:cstheme="minorHAnsi"/>
          <w:color w:val="FF0000"/>
        </w:rPr>
      </w:pPr>
      <w:bookmarkStart w:id="13" w:name="_Toc363109461"/>
      <w:bookmarkStart w:id="14" w:name="_Toc386454275"/>
      <w:r w:rsidRPr="000E545D">
        <w:rPr>
          <w:rFonts w:asciiTheme="minorHAnsi" w:hAnsiTheme="minorHAnsi" w:cstheme="minorHAnsi"/>
          <w:color w:val="FF0000"/>
        </w:rPr>
        <w:t>Research</w:t>
      </w:r>
      <w:bookmarkEnd w:id="13"/>
      <w:bookmarkEnd w:id="14"/>
    </w:p>
    <w:p w:rsidR="00CB0D7F" w:rsidRPr="000E545D" w:rsidRDefault="00B25A8D" w:rsidP="00CB0D7F">
      <w:pPr>
        <w:spacing w:after="0" w:line="240" w:lineRule="auto"/>
        <w:rPr>
          <w:rFonts w:cstheme="minorHAnsi"/>
          <w:i/>
        </w:rPr>
      </w:pPr>
      <w:r w:rsidRPr="000E545D">
        <w:rPr>
          <w:rFonts w:cstheme="minorHAnsi"/>
          <w:i/>
        </w:rPr>
        <w:t>A wide range of scientific research has some potential to affect the us</w:t>
      </w:r>
      <w:r w:rsidR="00D93B47" w:rsidRPr="000E545D">
        <w:rPr>
          <w:rFonts w:cstheme="minorHAnsi"/>
          <w:i/>
        </w:rPr>
        <w:t xml:space="preserve">e of blood and blood products. </w:t>
      </w:r>
      <w:r w:rsidRPr="000E545D">
        <w:rPr>
          <w:rFonts w:cstheme="minorHAnsi"/>
          <w:i/>
        </w:rPr>
        <w:t>However, research projects have time horizons which vary from “useful tomorrow”</w:t>
      </w:r>
      <w:r w:rsidR="00D93B47" w:rsidRPr="000E545D">
        <w:rPr>
          <w:rFonts w:cstheme="minorHAnsi"/>
          <w:i/>
        </w:rPr>
        <w:t xml:space="preserve"> to “at least ten years away”. </w:t>
      </w:r>
      <w:r w:rsidRPr="000E545D">
        <w:rPr>
          <w:rFonts w:cstheme="minorHAnsi"/>
          <w:i/>
        </w:rPr>
        <w:t>Likelihood of success of particular projects varies, and even research which achieves its desired scientific outcomes may not lead to scaled-up production, clinical trials, regulatory approval and market development.</w:t>
      </w:r>
    </w:p>
    <w:p w:rsidR="00CB0D7F" w:rsidRPr="000E545D" w:rsidRDefault="00CB0D7F" w:rsidP="00CB0D7F">
      <w:pPr>
        <w:spacing w:after="0" w:line="240" w:lineRule="auto"/>
        <w:rPr>
          <w:rFonts w:cstheme="minorHAnsi"/>
          <w:i/>
        </w:rPr>
      </w:pPr>
    </w:p>
    <w:p w:rsidR="00CB0D7F" w:rsidRPr="000E545D" w:rsidRDefault="00CB0D7F" w:rsidP="00CB0D7F">
      <w:pPr>
        <w:pStyle w:val="ListParagraph"/>
        <w:numPr>
          <w:ilvl w:val="1"/>
          <w:numId w:val="21"/>
        </w:numPr>
        <w:spacing w:line="240" w:lineRule="auto"/>
        <w:rPr>
          <w:rFonts w:cstheme="minorHAnsi"/>
        </w:rPr>
      </w:pPr>
      <w:r w:rsidRPr="000E545D">
        <w:rPr>
          <w:rFonts w:cstheme="minorHAnsi"/>
        </w:rPr>
        <w:t>Marc Turner, medical director at the Scottish National Blood Transfusion Service, is leading a £5 million project at the University of Edinburgh which aims to underpin the manufacturing of blood on an industrial scale. He recently announced: “We have made red blood cells, for the first time, that are fit to go in a person's body.” Testing of mature red blood cells made from human induced pluripotent stem cells will begin in 2016. The trial is expected to involve three patients with thalassemia who will receive about 5ml of blood to start with to check the cells behave normally in the body.</w:t>
      </w:r>
    </w:p>
    <w:p w:rsidR="000B0BE8" w:rsidRPr="000E545D" w:rsidRDefault="000B0BE8" w:rsidP="00881135">
      <w:pPr>
        <w:pStyle w:val="ListParagraph"/>
        <w:numPr>
          <w:ilvl w:val="1"/>
          <w:numId w:val="21"/>
        </w:numPr>
        <w:spacing w:line="240" w:lineRule="auto"/>
        <w:rPr>
          <w:rFonts w:cstheme="minorHAnsi"/>
          <w:color w:val="FF0000"/>
        </w:rPr>
      </w:pPr>
      <w:r w:rsidRPr="000E545D">
        <w:rPr>
          <w:rFonts w:cstheme="minorHAnsi"/>
        </w:rPr>
        <w:t>A study</w:t>
      </w:r>
      <w:r w:rsidRPr="000E545D">
        <w:rPr>
          <w:rStyle w:val="FootnoteReference"/>
          <w:rFonts w:cstheme="minorHAnsi"/>
        </w:rPr>
        <w:footnoteReference w:id="18"/>
      </w:r>
      <w:r w:rsidRPr="000E545D">
        <w:rPr>
          <w:rFonts w:cstheme="minorHAnsi"/>
        </w:rPr>
        <w:t xml:space="preserve"> by FDA researchers</w:t>
      </w:r>
      <w:r w:rsidRPr="000E545D">
        <w:rPr>
          <w:rStyle w:val="FootnoteReference"/>
          <w:rFonts w:cstheme="minorHAnsi"/>
        </w:rPr>
        <w:footnoteReference w:id="19"/>
      </w:r>
      <w:r w:rsidRPr="000E545D">
        <w:rPr>
          <w:rFonts w:cstheme="minorHAnsi"/>
        </w:rPr>
        <w:t xml:space="preserve"> could assist in designing a therapy for diseases where red cells fracture </w:t>
      </w:r>
      <w:proofErr w:type="spellStart"/>
      <w:r w:rsidRPr="000E545D">
        <w:rPr>
          <w:rFonts w:cstheme="minorHAnsi"/>
        </w:rPr>
        <w:t>eg</w:t>
      </w:r>
      <w:proofErr w:type="spellEnd"/>
      <w:r w:rsidRPr="000E545D">
        <w:rPr>
          <w:rFonts w:cstheme="minorHAnsi"/>
        </w:rPr>
        <w:t xml:space="preserve"> in some complications of sickle cell anaemia and malaria. The work might also facilitate development safe and effective haemoglobin-based oxygen carriers for treating blood loss due to trauma. The blood protein </w:t>
      </w:r>
      <w:proofErr w:type="spellStart"/>
      <w:r w:rsidRPr="000E545D">
        <w:rPr>
          <w:rFonts w:cstheme="minorHAnsi"/>
        </w:rPr>
        <w:t>haptoglobin</w:t>
      </w:r>
      <w:proofErr w:type="spellEnd"/>
      <w:r w:rsidRPr="000E545D">
        <w:rPr>
          <w:rFonts w:cstheme="minorHAnsi"/>
        </w:rPr>
        <w:t xml:space="preserve"> could be used to block the destructive chemical reactions set off by haemoglobin escaping fractured red blood cells. </w:t>
      </w:r>
      <w:proofErr w:type="spellStart"/>
      <w:r w:rsidRPr="000E545D">
        <w:rPr>
          <w:rFonts w:cstheme="minorHAnsi"/>
        </w:rPr>
        <w:t>Haptoglobin</w:t>
      </w:r>
      <w:proofErr w:type="spellEnd"/>
      <w:r w:rsidRPr="000E545D">
        <w:rPr>
          <w:rFonts w:cstheme="minorHAnsi"/>
        </w:rPr>
        <w:t xml:space="preserve"> occurs naturally. It binds strongly to free haemoglobin and prevents it from producing tissue-damaging molecules in the bloodstream. The haemoglobin instead damages the attached </w:t>
      </w:r>
      <w:proofErr w:type="spellStart"/>
      <w:r w:rsidRPr="000E545D">
        <w:rPr>
          <w:rFonts w:cstheme="minorHAnsi"/>
        </w:rPr>
        <w:t>haptoglobin</w:t>
      </w:r>
      <w:proofErr w:type="spellEnd"/>
      <w:r w:rsidRPr="000E545D">
        <w:rPr>
          <w:rFonts w:cstheme="minorHAnsi"/>
        </w:rPr>
        <w:t xml:space="preserve">. The immune system then eliminates them both. </w:t>
      </w:r>
    </w:p>
    <w:p w:rsidR="004922A0" w:rsidRPr="000E545D" w:rsidRDefault="0034749D" w:rsidP="004922A0">
      <w:pPr>
        <w:pStyle w:val="ListParagraph"/>
        <w:numPr>
          <w:ilvl w:val="1"/>
          <w:numId w:val="21"/>
        </w:numPr>
        <w:spacing w:line="240" w:lineRule="auto"/>
        <w:rPr>
          <w:rFonts w:cstheme="minorHAnsi"/>
          <w:color w:val="FF0000"/>
        </w:rPr>
      </w:pPr>
      <w:r w:rsidRPr="000E545D">
        <w:rPr>
          <w:rFonts w:cstheme="minorHAnsi"/>
        </w:rPr>
        <w:t xml:space="preserve">Using a University of Pennsylvania-designed device to monitor cerebral blood flow (CBF) non-invasively and continuously in acute stroke patients, researchers are studying how head of bed (HOB) positioning affects the flow of blood to the brain. Most people hospitalised l with an acute stroke are kept flat for at least 24 hours in the hope of increasing CBF in areas round the damaged tissue. Researchers reported in the journal </w:t>
      </w:r>
      <w:r w:rsidRPr="000E545D">
        <w:rPr>
          <w:rFonts w:cstheme="minorHAnsi"/>
          <w:i/>
          <w:iCs/>
        </w:rPr>
        <w:t>Stroke</w:t>
      </w:r>
      <w:r w:rsidRPr="000E545D">
        <w:rPr>
          <w:rFonts w:cstheme="minorHAnsi"/>
        </w:rPr>
        <w:t xml:space="preserve"> that, while this practice increased CBF in the affected hemisphere in the majority of stroke patients, about one quarter of the patients had highest CBF with their head elevated.</w:t>
      </w:r>
      <w:r w:rsidR="00BC113C" w:rsidRPr="000E545D">
        <w:rPr>
          <w:rFonts w:cstheme="minorHAnsi"/>
        </w:rPr>
        <w:t xml:space="preserve"> </w:t>
      </w:r>
      <w:r w:rsidRPr="000E545D">
        <w:rPr>
          <w:rFonts w:cstheme="minorHAnsi"/>
        </w:rPr>
        <w:t xml:space="preserve">"This study illustrates the potential of using advanced technology to make individualized treatment decisions in real time" said senior author John A. </w:t>
      </w:r>
      <w:proofErr w:type="spellStart"/>
      <w:r w:rsidRPr="000E545D">
        <w:rPr>
          <w:rFonts w:cstheme="minorHAnsi"/>
        </w:rPr>
        <w:t>Detre</w:t>
      </w:r>
      <w:proofErr w:type="spellEnd"/>
      <w:r w:rsidRPr="000E545D">
        <w:rPr>
          <w:rFonts w:cstheme="minorHAnsi"/>
        </w:rPr>
        <w:t>, professor of Neurology and Radiology in the Perelman School of Medicine at the University of Pennsylvania. "While, on average, our findings support current guidelines to lay patients flat following stroke, they also suggest that for some stroke patients, lying flat may be either unnecessary or even harmful. Future studies examining clinical outcomes after stroke and using optical CBF measurements to guide management will be needed to confirm this."</w:t>
      </w:r>
    </w:p>
    <w:p w:rsidR="004922A0" w:rsidRPr="000E545D" w:rsidRDefault="004922A0" w:rsidP="004922A0">
      <w:pPr>
        <w:pStyle w:val="ListParagraph"/>
        <w:numPr>
          <w:ilvl w:val="1"/>
          <w:numId w:val="21"/>
        </w:numPr>
        <w:spacing w:line="240" w:lineRule="auto"/>
        <w:rPr>
          <w:rFonts w:cstheme="minorHAnsi"/>
          <w:color w:val="FF0000"/>
        </w:rPr>
      </w:pPr>
      <w:r w:rsidRPr="000E545D">
        <w:rPr>
          <w:rFonts w:cstheme="minorHAnsi"/>
        </w:rPr>
        <w:t xml:space="preserve">To give researchers a tool to analyse how blood cells turn cancerous, scientists have located the regions which make a specific gene active or silent in a blood cell, regions called enhancers and promoters". Until now, researchers could only recognise the unique signatures of enhancers and promoters, however, their exact location, as well as the association of specific enhancers to specific blood cells, remained unclear," said Alistair </w:t>
      </w:r>
      <w:r w:rsidRPr="000E545D">
        <w:rPr>
          <w:rFonts w:cstheme="minorHAnsi"/>
        </w:rPr>
        <w:lastRenderedPageBreak/>
        <w:t xml:space="preserve">Forrest of the RIKEN Centre for Life Science Technology in Yokohama. Blood stem cells give rise to erythrocytes (red blood cells), leukocytes (white blood cells), and thrombocytes (platelets). The gene expression changes that occur in the stem cell to dictate what type of blood cell it becomes, or even if it develops a genetic mutation, </w:t>
      </w:r>
      <w:proofErr w:type="gramStart"/>
      <w:r w:rsidRPr="000E545D">
        <w:rPr>
          <w:rFonts w:cstheme="minorHAnsi"/>
        </w:rPr>
        <w:t>are</w:t>
      </w:r>
      <w:proofErr w:type="gramEnd"/>
      <w:r w:rsidRPr="000E545D">
        <w:rPr>
          <w:rFonts w:cstheme="minorHAnsi"/>
        </w:rPr>
        <w:t xml:space="preserve"> not completely understood. Forrest says: "Now that we have these incredibly detailed pictures of each of these cell types, we can now work backwards to compare cancer cells to the cells they came from originally to better understand what may have triggered the cells to malfunction." The study appeared in the journal </w:t>
      </w:r>
      <w:r w:rsidRPr="000E545D">
        <w:rPr>
          <w:rFonts w:cstheme="minorHAnsi"/>
          <w:i/>
        </w:rPr>
        <w:t xml:space="preserve">Blood, </w:t>
      </w:r>
      <w:r w:rsidRPr="000E545D">
        <w:rPr>
          <w:rFonts w:cstheme="minorHAnsi"/>
        </w:rPr>
        <w:t>the Journal of the American Society of Hematology.</w:t>
      </w:r>
      <w:r w:rsidRPr="000E545D">
        <w:rPr>
          <w:rFonts w:cstheme="minorHAnsi"/>
          <w:i/>
        </w:rPr>
        <w:t xml:space="preserve"> </w:t>
      </w:r>
    </w:p>
    <w:p w:rsidR="00CB0D7F" w:rsidRPr="000E545D" w:rsidRDefault="005535DE" w:rsidP="005535DE">
      <w:pPr>
        <w:pStyle w:val="ListParagraph"/>
        <w:numPr>
          <w:ilvl w:val="1"/>
          <w:numId w:val="21"/>
        </w:numPr>
        <w:spacing w:line="240" w:lineRule="auto"/>
        <w:rPr>
          <w:rStyle w:val="Strong"/>
          <w:rFonts w:cstheme="minorHAnsi"/>
          <w:b w:val="0"/>
          <w:bCs w:val="0"/>
          <w:color w:val="FF0000"/>
        </w:rPr>
      </w:pPr>
      <w:r w:rsidRPr="000E545D">
        <w:rPr>
          <w:rStyle w:val="Strong"/>
          <w:rFonts w:cstheme="minorHAnsi"/>
          <w:b w:val="0"/>
        </w:rPr>
        <w:t>A new study</w:t>
      </w:r>
      <w:r w:rsidR="001C65D2" w:rsidRPr="000E545D">
        <w:rPr>
          <w:rStyle w:val="FootnoteReference"/>
          <w:rFonts w:cstheme="minorHAnsi"/>
          <w:bCs/>
        </w:rPr>
        <w:footnoteReference w:id="20"/>
      </w:r>
      <w:r w:rsidRPr="000E545D">
        <w:rPr>
          <w:rStyle w:val="Strong"/>
          <w:rFonts w:cstheme="minorHAnsi"/>
          <w:b w:val="0"/>
        </w:rPr>
        <w:t xml:space="preserve"> </w:t>
      </w:r>
      <w:r w:rsidR="001C65D2" w:rsidRPr="000E545D">
        <w:rPr>
          <w:rStyle w:val="Strong"/>
          <w:rFonts w:cstheme="minorHAnsi"/>
          <w:b w:val="0"/>
        </w:rPr>
        <w:t xml:space="preserve">by </w:t>
      </w:r>
      <w:proofErr w:type="spellStart"/>
      <w:r w:rsidR="001C65D2" w:rsidRPr="000E545D">
        <w:rPr>
          <w:rFonts w:cstheme="minorHAnsi"/>
        </w:rPr>
        <w:t>Sarkis</w:t>
      </w:r>
      <w:proofErr w:type="spellEnd"/>
      <w:r w:rsidR="001C65D2" w:rsidRPr="000E545D">
        <w:rPr>
          <w:rFonts w:cstheme="minorHAnsi"/>
        </w:rPr>
        <w:t xml:space="preserve"> </w:t>
      </w:r>
      <w:proofErr w:type="spellStart"/>
      <w:r w:rsidR="001C65D2" w:rsidRPr="000E545D">
        <w:rPr>
          <w:rFonts w:cstheme="minorHAnsi"/>
        </w:rPr>
        <w:t>Mazmanian</w:t>
      </w:r>
      <w:proofErr w:type="spellEnd"/>
      <w:r w:rsidR="001C65D2" w:rsidRPr="000E545D">
        <w:rPr>
          <w:rStyle w:val="Strong"/>
          <w:rFonts w:cstheme="minorHAnsi"/>
        </w:rPr>
        <w:t xml:space="preserve"> </w:t>
      </w:r>
      <w:r w:rsidR="001C65D2" w:rsidRPr="000E545D">
        <w:rPr>
          <w:rFonts w:cstheme="minorHAnsi"/>
        </w:rPr>
        <w:t>his team at the California Institute of Technology (Caltech) in Pasadena</w:t>
      </w:r>
      <w:r w:rsidR="001C65D2" w:rsidRPr="000E545D">
        <w:rPr>
          <w:rFonts w:cstheme="minorHAnsi"/>
          <w:b/>
        </w:rPr>
        <w:t xml:space="preserve"> </w:t>
      </w:r>
      <w:r w:rsidR="001C65D2" w:rsidRPr="000E545D">
        <w:rPr>
          <w:rStyle w:val="Strong"/>
          <w:rFonts w:cstheme="minorHAnsi"/>
          <w:b w:val="0"/>
        </w:rPr>
        <w:t xml:space="preserve">suggests that intestinal </w:t>
      </w:r>
      <w:r w:rsidRPr="000E545D">
        <w:rPr>
          <w:rStyle w:val="Strong"/>
          <w:rFonts w:cstheme="minorHAnsi"/>
          <w:b w:val="0"/>
        </w:rPr>
        <w:t>bacteria play an important role in the development of white blood cells that help the body's immune system fight infection.</w:t>
      </w:r>
    </w:p>
    <w:p w:rsidR="005B7BAC" w:rsidRPr="000E545D" w:rsidRDefault="00CB0D7F" w:rsidP="005B7BAC">
      <w:pPr>
        <w:pStyle w:val="ListParagraph"/>
        <w:numPr>
          <w:ilvl w:val="1"/>
          <w:numId w:val="21"/>
        </w:numPr>
        <w:spacing w:line="240" w:lineRule="auto"/>
        <w:rPr>
          <w:rFonts w:cstheme="minorHAnsi"/>
        </w:rPr>
      </w:pPr>
      <w:r w:rsidRPr="000E545D">
        <w:rPr>
          <w:rFonts w:cstheme="minorHAnsi"/>
        </w:rPr>
        <w:t xml:space="preserve">Researchers </w:t>
      </w:r>
      <w:r w:rsidR="005535DE" w:rsidRPr="000E545D">
        <w:rPr>
          <w:rFonts w:cstheme="minorHAnsi"/>
        </w:rPr>
        <w:t xml:space="preserve">at the Johns Hopkins Children's Center have </w:t>
      </w:r>
      <w:r w:rsidRPr="000E545D">
        <w:rPr>
          <w:rFonts w:cstheme="minorHAnsi"/>
        </w:rPr>
        <w:t xml:space="preserve">described </w:t>
      </w:r>
      <w:r w:rsidR="005535DE" w:rsidRPr="000E545D">
        <w:rPr>
          <w:rFonts w:cstheme="minorHAnsi"/>
        </w:rPr>
        <w:t xml:space="preserve">a protein that regulates the body's immune response to cytomegalovirus (CMV), </w:t>
      </w:r>
      <w:r w:rsidRPr="000E545D">
        <w:rPr>
          <w:rFonts w:cstheme="minorHAnsi"/>
        </w:rPr>
        <w:t xml:space="preserve">which is a disease particularly </w:t>
      </w:r>
      <w:r w:rsidR="005535DE" w:rsidRPr="000E545D">
        <w:rPr>
          <w:rFonts w:cstheme="minorHAnsi"/>
        </w:rPr>
        <w:t xml:space="preserve">devastating </w:t>
      </w:r>
      <w:r w:rsidR="00881135" w:rsidRPr="000E545D">
        <w:rPr>
          <w:rFonts w:cstheme="minorHAnsi"/>
        </w:rPr>
        <w:t xml:space="preserve">to neonates </w:t>
      </w:r>
      <w:r w:rsidR="005535DE" w:rsidRPr="000E545D">
        <w:rPr>
          <w:rFonts w:cstheme="minorHAnsi"/>
        </w:rPr>
        <w:t xml:space="preserve">and those </w:t>
      </w:r>
      <w:r w:rsidR="00881135" w:rsidRPr="000E545D">
        <w:rPr>
          <w:rFonts w:cstheme="minorHAnsi"/>
        </w:rPr>
        <w:t>the immunocompromised-including organ transplant recipients.</w:t>
      </w:r>
    </w:p>
    <w:p w:rsidR="005535DE" w:rsidRPr="000E545D" w:rsidRDefault="004922A0" w:rsidP="005B7BAC">
      <w:pPr>
        <w:pStyle w:val="ListParagraph"/>
        <w:numPr>
          <w:ilvl w:val="1"/>
          <w:numId w:val="21"/>
        </w:numPr>
        <w:spacing w:line="240" w:lineRule="auto"/>
        <w:rPr>
          <w:rFonts w:cstheme="minorHAnsi"/>
        </w:rPr>
      </w:pPr>
      <w:r w:rsidRPr="000E545D">
        <w:rPr>
          <w:rFonts w:cstheme="minorHAnsi"/>
        </w:rPr>
        <w:t>Researchers led from University College, London have reported that l</w:t>
      </w:r>
      <w:r w:rsidR="005535DE" w:rsidRPr="000E545D">
        <w:rPr>
          <w:rFonts w:cstheme="minorHAnsi"/>
        </w:rPr>
        <w:t xml:space="preserve">ong-term brain damage </w:t>
      </w:r>
      <w:r w:rsidRPr="000E545D">
        <w:rPr>
          <w:rFonts w:cstheme="minorHAnsi"/>
        </w:rPr>
        <w:t xml:space="preserve">from </w:t>
      </w:r>
      <w:r w:rsidR="005535DE" w:rsidRPr="000E545D">
        <w:rPr>
          <w:rFonts w:cstheme="minorHAnsi"/>
        </w:rPr>
        <w:t xml:space="preserve">stroke could be </w:t>
      </w:r>
      <w:r w:rsidRPr="000E545D">
        <w:rPr>
          <w:rFonts w:cstheme="minorHAnsi"/>
        </w:rPr>
        <w:t xml:space="preserve">lessened </w:t>
      </w:r>
      <w:r w:rsidR="005535DE" w:rsidRPr="000E545D">
        <w:rPr>
          <w:rFonts w:cstheme="minorHAnsi"/>
        </w:rPr>
        <w:t xml:space="preserve">by saving cells </w:t>
      </w:r>
      <w:r w:rsidRPr="000E545D">
        <w:rPr>
          <w:rFonts w:cstheme="minorHAnsi"/>
        </w:rPr>
        <w:t xml:space="preserve">known as </w:t>
      </w:r>
      <w:proofErr w:type="spellStart"/>
      <w:r w:rsidR="005535DE" w:rsidRPr="000E545D">
        <w:rPr>
          <w:rFonts w:cstheme="minorHAnsi"/>
        </w:rPr>
        <w:t>pericytes</w:t>
      </w:r>
      <w:proofErr w:type="spellEnd"/>
      <w:r w:rsidR="005535DE" w:rsidRPr="000E545D">
        <w:rPr>
          <w:rFonts w:cstheme="minorHAnsi"/>
        </w:rPr>
        <w:t xml:space="preserve"> that control blood flow in capillaries</w:t>
      </w:r>
      <w:r w:rsidRPr="000E545D">
        <w:rPr>
          <w:rFonts w:cstheme="minorHAnsi"/>
        </w:rPr>
        <w:t xml:space="preserve">. </w:t>
      </w:r>
      <w:proofErr w:type="spellStart"/>
      <w:r w:rsidR="005535DE" w:rsidRPr="000E545D">
        <w:rPr>
          <w:rFonts w:cstheme="minorHAnsi"/>
        </w:rPr>
        <w:t>The</w:t>
      </w:r>
      <w:r w:rsidRPr="000E545D">
        <w:rPr>
          <w:rFonts w:cstheme="minorHAnsi"/>
        </w:rPr>
        <w:t>research</w:t>
      </w:r>
      <w:proofErr w:type="spellEnd"/>
      <w:r w:rsidR="005535DE" w:rsidRPr="000E545D">
        <w:rPr>
          <w:rFonts w:cstheme="minorHAnsi"/>
        </w:rPr>
        <w:t xml:space="preserve">, published in </w:t>
      </w:r>
      <w:r w:rsidR="005535DE" w:rsidRPr="000E545D">
        <w:rPr>
          <w:rStyle w:val="Emphasis"/>
          <w:rFonts w:cstheme="minorHAnsi"/>
        </w:rPr>
        <w:t>Nature</w:t>
      </w:r>
      <w:r w:rsidR="005535DE" w:rsidRPr="000E545D">
        <w:rPr>
          <w:rFonts w:cstheme="minorHAnsi"/>
        </w:rPr>
        <w:t xml:space="preserve">, </w:t>
      </w:r>
      <w:r w:rsidRPr="000E545D">
        <w:rPr>
          <w:rFonts w:cstheme="minorHAnsi"/>
        </w:rPr>
        <w:t xml:space="preserve">suggests </w:t>
      </w:r>
      <w:proofErr w:type="spellStart"/>
      <w:r w:rsidR="005535DE" w:rsidRPr="000E545D">
        <w:rPr>
          <w:rFonts w:cstheme="minorHAnsi"/>
        </w:rPr>
        <w:t>pericytes</w:t>
      </w:r>
      <w:proofErr w:type="spellEnd"/>
      <w:r w:rsidR="005535DE" w:rsidRPr="000E545D">
        <w:rPr>
          <w:rFonts w:cstheme="minorHAnsi"/>
        </w:rPr>
        <w:t xml:space="preserve"> are the main regulator of blood flow to the brain, </w:t>
      </w:r>
      <w:r w:rsidRPr="000E545D">
        <w:rPr>
          <w:rFonts w:cstheme="minorHAnsi"/>
        </w:rPr>
        <w:t xml:space="preserve">and </w:t>
      </w:r>
      <w:r w:rsidR="005535DE" w:rsidRPr="000E545D">
        <w:rPr>
          <w:rFonts w:cstheme="minorHAnsi"/>
        </w:rPr>
        <w:t>tighten and die around capillaries after stroke</w:t>
      </w:r>
      <w:r w:rsidR="005B7BAC" w:rsidRPr="000E545D">
        <w:rPr>
          <w:rFonts w:cstheme="minorHAnsi"/>
        </w:rPr>
        <w:t>. Specific</w:t>
      </w:r>
      <w:r w:rsidR="005535DE" w:rsidRPr="000E545D">
        <w:rPr>
          <w:rFonts w:cstheme="minorHAnsi"/>
        </w:rPr>
        <w:t xml:space="preserve"> chemicals </w:t>
      </w:r>
      <w:r w:rsidR="005B7BAC" w:rsidRPr="000E545D">
        <w:rPr>
          <w:rFonts w:cstheme="minorHAnsi"/>
        </w:rPr>
        <w:t>reduce</w:t>
      </w:r>
      <w:r w:rsidR="005535DE" w:rsidRPr="000E545D">
        <w:rPr>
          <w:rFonts w:cstheme="minorHAnsi"/>
        </w:rPr>
        <w:t xml:space="preserve"> </w:t>
      </w:r>
      <w:proofErr w:type="spellStart"/>
      <w:r w:rsidR="005535DE" w:rsidRPr="000E545D">
        <w:rPr>
          <w:rFonts w:cstheme="minorHAnsi"/>
        </w:rPr>
        <w:t>pericyte</w:t>
      </w:r>
      <w:proofErr w:type="spellEnd"/>
      <w:r w:rsidR="005535DE" w:rsidRPr="000E545D">
        <w:rPr>
          <w:rFonts w:cstheme="minorHAnsi"/>
        </w:rPr>
        <w:t xml:space="preserve"> death in the lab</w:t>
      </w:r>
      <w:r w:rsidR="005B7BAC" w:rsidRPr="000E545D">
        <w:rPr>
          <w:rFonts w:cstheme="minorHAnsi"/>
        </w:rPr>
        <w:t>oratory</w:t>
      </w:r>
      <w:r w:rsidR="005535DE" w:rsidRPr="000E545D">
        <w:rPr>
          <w:rFonts w:cstheme="minorHAnsi"/>
        </w:rPr>
        <w:t xml:space="preserve">, and </w:t>
      </w:r>
      <w:r w:rsidR="005B7BAC" w:rsidRPr="000E545D">
        <w:rPr>
          <w:rFonts w:cstheme="minorHAnsi"/>
        </w:rPr>
        <w:t xml:space="preserve">might be developed </w:t>
      </w:r>
      <w:r w:rsidR="005535DE" w:rsidRPr="000E545D">
        <w:rPr>
          <w:rFonts w:cstheme="minorHAnsi"/>
        </w:rPr>
        <w:t>into drugs to treat stroke victims.</w:t>
      </w:r>
    </w:p>
    <w:p w:rsidR="00D54169" w:rsidRPr="000E545D" w:rsidRDefault="00D54169" w:rsidP="004D58B4">
      <w:pPr>
        <w:pStyle w:val="Heading1"/>
        <w:numPr>
          <w:ilvl w:val="0"/>
          <w:numId w:val="1"/>
        </w:numPr>
        <w:ind w:left="360"/>
        <w:rPr>
          <w:rFonts w:asciiTheme="minorHAnsi" w:hAnsiTheme="minorHAnsi" w:cstheme="minorHAnsi"/>
          <w:color w:val="FF0000"/>
        </w:rPr>
      </w:pPr>
      <w:bookmarkStart w:id="15" w:name="_Toc386454276"/>
      <w:r w:rsidRPr="000E545D">
        <w:rPr>
          <w:rFonts w:asciiTheme="minorHAnsi" w:hAnsiTheme="minorHAnsi" w:cstheme="minorHAnsi"/>
          <w:color w:val="FF0000"/>
        </w:rPr>
        <w:t>Infectious diseases</w:t>
      </w:r>
      <w:bookmarkEnd w:id="15"/>
      <w:r w:rsidRPr="000E545D">
        <w:rPr>
          <w:rFonts w:asciiTheme="minorHAnsi" w:hAnsiTheme="minorHAnsi" w:cstheme="minorHAnsi"/>
          <w:color w:val="FF0000"/>
        </w:rPr>
        <w:tab/>
      </w:r>
    </w:p>
    <w:p w:rsidR="001C2106" w:rsidRPr="000E545D" w:rsidRDefault="001C2106" w:rsidP="00982FB8">
      <w:pPr>
        <w:spacing w:after="0" w:line="240" w:lineRule="auto"/>
        <w:rPr>
          <w:rFonts w:cstheme="minorHAnsi"/>
          <w:lang w:val="en-GB"/>
        </w:rPr>
      </w:pPr>
      <w:r w:rsidRPr="000E545D">
        <w:rPr>
          <w:rFonts w:cstheme="minorHAns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0E545D" w:rsidRDefault="00E463DB" w:rsidP="001A20BD">
      <w:pPr>
        <w:pStyle w:val="Heading3"/>
        <w:rPr>
          <w:rFonts w:asciiTheme="minorHAnsi" w:hAnsiTheme="minorHAnsi" w:cstheme="minorHAnsi"/>
        </w:rPr>
      </w:pPr>
      <w:bookmarkStart w:id="16" w:name="_Toc386454277"/>
      <w:r w:rsidRPr="000E545D">
        <w:rPr>
          <w:rFonts w:asciiTheme="minorHAnsi" w:hAnsiTheme="minorHAnsi" w:cstheme="minorHAnsi"/>
        </w:rPr>
        <w:t>Mosquito-</w:t>
      </w:r>
      <w:r w:rsidR="001A20BD" w:rsidRPr="000E545D">
        <w:rPr>
          <w:rFonts w:asciiTheme="minorHAnsi" w:hAnsiTheme="minorHAnsi" w:cstheme="minorHAnsi"/>
        </w:rPr>
        <w:t>borne diseases</w:t>
      </w:r>
      <w:r w:rsidR="00CA3703" w:rsidRPr="000E545D">
        <w:rPr>
          <w:rFonts w:asciiTheme="minorHAnsi" w:hAnsiTheme="minorHAnsi" w:cstheme="minorHAnsi"/>
        </w:rPr>
        <w:t>:</w:t>
      </w:r>
      <w:r w:rsidR="003F4370" w:rsidRPr="000E545D">
        <w:rPr>
          <w:rFonts w:asciiTheme="minorHAnsi" w:hAnsiTheme="minorHAnsi" w:cstheme="minorHAnsi"/>
        </w:rPr>
        <w:t xml:space="preserve"> dengue, </w:t>
      </w:r>
      <w:r w:rsidR="00CA3703" w:rsidRPr="000E545D">
        <w:rPr>
          <w:rFonts w:asciiTheme="minorHAnsi" w:hAnsiTheme="minorHAnsi" w:cstheme="minorHAnsi"/>
        </w:rPr>
        <w:t>chikungunya</w:t>
      </w:r>
      <w:r w:rsidR="00D93B47" w:rsidRPr="000E545D">
        <w:rPr>
          <w:rFonts w:asciiTheme="minorHAnsi" w:hAnsiTheme="minorHAnsi" w:cstheme="minorHAnsi"/>
        </w:rPr>
        <w:t xml:space="preserve">, </w:t>
      </w:r>
      <w:proofErr w:type="spellStart"/>
      <w:r w:rsidR="003F4370" w:rsidRPr="000E545D">
        <w:rPr>
          <w:rFonts w:asciiTheme="minorHAnsi" w:hAnsiTheme="minorHAnsi" w:cstheme="minorHAnsi"/>
        </w:rPr>
        <w:t>zika</w:t>
      </w:r>
      <w:proofErr w:type="spellEnd"/>
      <w:r w:rsidR="003F4370" w:rsidRPr="000E545D">
        <w:rPr>
          <w:rFonts w:asciiTheme="minorHAnsi" w:hAnsiTheme="minorHAnsi" w:cstheme="minorHAnsi"/>
        </w:rPr>
        <w:t>,</w:t>
      </w:r>
      <w:r w:rsidR="00CA3703" w:rsidRPr="000E545D">
        <w:rPr>
          <w:rFonts w:asciiTheme="minorHAnsi" w:hAnsiTheme="minorHAnsi" w:cstheme="minorHAnsi"/>
        </w:rPr>
        <w:t xml:space="preserve"> and malaria</w:t>
      </w:r>
      <w:bookmarkEnd w:id="16"/>
    </w:p>
    <w:p w:rsidR="003F4370" w:rsidRPr="000E545D" w:rsidRDefault="003F4370" w:rsidP="003B345B">
      <w:pPr>
        <w:pStyle w:val="ListParagraph"/>
        <w:numPr>
          <w:ilvl w:val="1"/>
          <w:numId w:val="5"/>
        </w:numPr>
        <w:spacing w:line="240" w:lineRule="auto"/>
        <w:rPr>
          <w:rFonts w:cstheme="minorHAnsi"/>
          <w:color w:val="FF0000"/>
        </w:rPr>
      </w:pPr>
      <w:bookmarkStart w:id="17" w:name="_Toc384293856"/>
      <w:bookmarkStart w:id="18" w:name="_Toc384278730"/>
      <w:r w:rsidRPr="000E545D">
        <w:rPr>
          <w:rFonts w:cstheme="minorHAnsi"/>
        </w:rPr>
        <w:t xml:space="preserve">In contrast with a number of other countries round the tropics, the Philippines </w:t>
      </w:r>
      <w:proofErr w:type="gramStart"/>
      <w:r w:rsidRPr="000E545D">
        <w:rPr>
          <w:rFonts w:cstheme="minorHAnsi"/>
        </w:rPr>
        <w:t>has</w:t>
      </w:r>
      <w:proofErr w:type="gramEnd"/>
      <w:r w:rsidRPr="000E545D">
        <w:rPr>
          <w:rFonts w:cstheme="minorHAnsi"/>
        </w:rPr>
        <w:t xml:space="preserve"> recorded a drop in dengue cases so far this year. It reported 11,000 dengue cases to 1 March,</w:t>
      </w:r>
      <w:bookmarkEnd w:id="17"/>
      <w:r w:rsidRPr="000E545D">
        <w:rPr>
          <w:rFonts w:cstheme="minorHAnsi"/>
        </w:rPr>
        <w:t xml:space="preserve"> a 52 per cent decrease over the same period last year.</w:t>
      </w:r>
      <w:r w:rsidRPr="000E545D">
        <w:rPr>
          <w:rFonts w:cstheme="minorHAnsi"/>
          <w:lang w:val="en-US"/>
        </w:rPr>
        <w:t xml:space="preserve"> 40 fatalities were reported in the first two months of this year.</w:t>
      </w:r>
    </w:p>
    <w:p w:rsidR="003F4370" w:rsidRPr="000E545D" w:rsidRDefault="003F4370" w:rsidP="003B345B">
      <w:pPr>
        <w:pStyle w:val="ListParagraph"/>
        <w:numPr>
          <w:ilvl w:val="1"/>
          <w:numId w:val="22"/>
        </w:numPr>
        <w:spacing w:before="240" w:line="240" w:lineRule="auto"/>
        <w:rPr>
          <w:rFonts w:cstheme="minorHAnsi"/>
        </w:rPr>
      </w:pPr>
      <w:r w:rsidRPr="000E545D">
        <w:rPr>
          <w:rFonts w:cstheme="minorHAnsi"/>
        </w:rPr>
        <w:t>There has been a continuing high incidence of dengue in West Jakarta</w:t>
      </w:r>
      <w:proofErr w:type="gramStart"/>
      <w:r w:rsidRPr="000E545D">
        <w:rPr>
          <w:rFonts w:cstheme="minorHAnsi"/>
        </w:rPr>
        <w:t>..</w:t>
      </w:r>
      <w:proofErr w:type="gramEnd"/>
    </w:p>
    <w:p w:rsidR="003F4370" w:rsidRPr="000E545D" w:rsidRDefault="003F4370" w:rsidP="003B345B">
      <w:pPr>
        <w:pStyle w:val="ListParagraph"/>
        <w:numPr>
          <w:ilvl w:val="1"/>
          <w:numId w:val="22"/>
        </w:numPr>
        <w:spacing w:before="240" w:line="240" w:lineRule="auto"/>
        <w:rPr>
          <w:rFonts w:cstheme="minorHAnsi"/>
          <w:color w:val="FF0000"/>
        </w:rPr>
      </w:pPr>
      <w:r w:rsidRPr="000E545D">
        <w:rPr>
          <w:rFonts w:cstheme="minorHAnsi"/>
        </w:rPr>
        <w:t xml:space="preserve">Britain's wet winter and warm spring has raised dengue fears as </w:t>
      </w:r>
      <w:proofErr w:type="spellStart"/>
      <w:r w:rsidRPr="000E545D">
        <w:rPr>
          <w:rStyle w:val="Emphasis"/>
          <w:rFonts w:cstheme="minorHAnsi"/>
          <w:lang w:val="en"/>
        </w:rPr>
        <w:t>Aedes</w:t>
      </w:r>
      <w:proofErr w:type="spellEnd"/>
      <w:r w:rsidRPr="000E545D">
        <w:rPr>
          <w:rStyle w:val="Emphasis"/>
          <w:rFonts w:cstheme="minorHAnsi"/>
          <w:lang w:val="en"/>
        </w:rPr>
        <w:t xml:space="preserve"> </w:t>
      </w:r>
      <w:proofErr w:type="spellStart"/>
      <w:r w:rsidRPr="000E545D">
        <w:rPr>
          <w:rStyle w:val="Emphasis"/>
          <w:rFonts w:cstheme="minorHAnsi"/>
          <w:lang w:val="en"/>
        </w:rPr>
        <w:t>aegypti</w:t>
      </w:r>
      <w:proofErr w:type="spellEnd"/>
      <w:r w:rsidRPr="000E545D">
        <w:rPr>
          <w:rStyle w:val="Emphasis"/>
          <w:rFonts w:cstheme="minorHAnsi"/>
          <w:lang w:val="en"/>
        </w:rPr>
        <w:t xml:space="preserve"> mosquitoes are known to be present.</w:t>
      </w:r>
    </w:p>
    <w:p w:rsidR="003F4370" w:rsidRPr="000E545D" w:rsidRDefault="003F4370" w:rsidP="003B345B">
      <w:pPr>
        <w:pStyle w:val="ListParagraph"/>
        <w:numPr>
          <w:ilvl w:val="1"/>
          <w:numId w:val="22"/>
        </w:numPr>
        <w:spacing w:line="240" w:lineRule="auto"/>
        <w:rPr>
          <w:rFonts w:cstheme="minorHAnsi"/>
          <w:color w:val="FF0000"/>
        </w:rPr>
      </w:pPr>
      <w:r w:rsidRPr="000E545D">
        <w:rPr>
          <w:rFonts w:cstheme="minorHAnsi"/>
        </w:rPr>
        <w:t>There is concern in Japan that rising temperatures are expanding the habitat of the dengue-carrying tiger mosquito across the northern part of the country and that dengue may have returned for the first time in six decades. It appears that a German traveller contracted dengue in January.</w:t>
      </w:r>
    </w:p>
    <w:p w:rsidR="003F4370" w:rsidRPr="000E545D" w:rsidRDefault="003F4370" w:rsidP="003B345B">
      <w:pPr>
        <w:pStyle w:val="ListParagraph"/>
        <w:numPr>
          <w:ilvl w:val="1"/>
          <w:numId w:val="22"/>
        </w:numPr>
        <w:spacing w:before="240" w:line="240" w:lineRule="auto"/>
        <w:rPr>
          <w:rFonts w:cstheme="minorHAnsi"/>
          <w:color w:val="FF0000"/>
        </w:rPr>
      </w:pPr>
      <w:r w:rsidRPr="000E545D">
        <w:rPr>
          <w:rFonts w:eastAsia="Times New Roman" w:cstheme="minorHAnsi"/>
          <w:lang w:eastAsia="en-AU"/>
        </w:rPr>
        <w:t>Transmission of dengue relies on mosquitoes (</w:t>
      </w:r>
      <w:proofErr w:type="spellStart"/>
      <w:r w:rsidRPr="000E545D">
        <w:rPr>
          <w:rStyle w:val="Emphasis"/>
          <w:rFonts w:cstheme="minorHAnsi"/>
          <w:lang w:val="en"/>
        </w:rPr>
        <w:t>Aedes</w:t>
      </w:r>
      <w:proofErr w:type="spellEnd"/>
      <w:r w:rsidRPr="000E545D">
        <w:rPr>
          <w:rStyle w:val="Emphasis"/>
          <w:rFonts w:cstheme="minorHAnsi"/>
          <w:lang w:val="en"/>
        </w:rPr>
        <w:t xml:space="preserve"> </w:t>
      </w:r>
      <w:proofErr w:type="spellStart"/>
      <w:r w:rsidRPr="000E545D">
        <w:rPr>
          <w:rStyle w:val="Emphasis"/>
          <w:rFonts w:cstheme="minorHAnsi"/>
          <w:lang w:val="en"/>
        </w:rPr>
        <w:t>aegypti</w:t>
      </w:r>
      <w:proofErr w:type="spellEnd"/>
      <w:r w:rsidRPr="000E545D">
        <w:rPr>
          <w:rStyle w:val="Emphasis"/>
          <w:rFonts w:cstheme="minorHAnsi"/>
          <w:lang w:val="en"/>
        </w:rPr>
        <w:t xml:space="preserve">) living long enough </w:t>
      </w:r>
      <w:r w:rsidRPr="000E545D">
        <w:rPr>
          <w:rFonts w:cstheme="minorHAnsi"/>
          <w:lang w:val="en"/>
        </w:rPr>
        <w:t xml:space="preserve">for the virus to infect the salivary glands. Survival rates of wild mosquitoes are difficult to measure. Hon </w:t>
      </w:r>
      <w:proofErr w:type="spellStart"/>
      <w:r w:rsidRPr="000E545D">
        <w:rPr>
          <w:rFonts w:cstheme="minorHAnsi"/>
          <w:lang w:val="en"/>
        </w:rPr>
        <w:lastRenderedPageBreak/>
        <w:t>Mieu</w:t>
      </w:r>
      <w:proofErr w:type="spellEnd"/>
      <w:r w:rsidRPr="000E545D">
        <w:rPr>
          <w:rFonts w:cstheme="minorHAnsi"/>
          <w:lang w:val="en"/>
        </w:rPr>
        <w:t xml:space="preserve"> Island in central Vietnam has been the site of a pilot release of </w:t>
      </w:r>
      <w:proofErr w:type="spellStart"/>
      <w:r w:rsidRPr="000E545D">
        <w:rPr>
          <w:rStyle w:val="Emphasis"/>
          <w:rFonts w:cstheme="minorHAnsi"/>
          <w:lang w:val="en"/>
        </w:rPr>
        <w:t>Aedes</w:t>
      </w:r>
      <w:proofErr w:type="spellEnd"/>
      <w:r w:rsidRPr="000E545D">
        <w:rPr>
          <w:rStyle w:val="Emphasis"/>
          <w:rFonts w:cstheme="minorHAnsi"/>
          <w:lang w:val="en"/>
        </w:rPr>
        <w:t xml:space="preserve"> </w:t>
      </w:r>
      <w:proofErr w:type="spellStart"/>
      <w:r w:rsidRPr="000E545D">
        <w:rPr>
          <w:rStyle w:val="Emphasis"/>
          <w:rFonts w:cstheme="minorHAnsi"/>
          <w:lang w:val="en"/>
        </w:rPr>
        <w:t>aegypti</w:t>
      </w:r>
      <w:proofErr w:type="spellEnd"/>
      <w:r w:rsidRPr="000E545D">
        <w:rPr>
          <w:rFonts w:cstheme="minorHAnsi"/>
          <w:lang w:val="en"/>
        </w:rPr>
        <w:t xml:space="preserve"> infected with a strain of </w:t>
      </w:r>
      <w:r w:rsidRPr="000E545D">
        <w:rPr>
          <w:rStyle w:val="Emphasis"/>
          <w:rFonts w:cstheme="minorHAnsi"/>
          <w:lang w:val="en"/>
        </w:rPr>
        <w:t xml:space="preserve">Wolbachia </w:t>
      </w:r>
      <w:proofErr w:type="spellStart"/>
      <w:r w:rsidRPr="000E545D">
        <w:rPr>
          <w:rStyle w:val="Emphasis"/>
          <w:rFonts w:cstheme="minorHAnsi"/>
          <w:lang w:val="en"/>
        </w:rPr>
        <w:t>pipientis</w:t>
      </w:r>
      <w:proofErr w:type="spellEnd"/>
      <w:r w:rsidRPr="000E545D">
        <w:rPr>
          <w:rFonts w:cstheme="minorHAnsi"/>
          <w:lang w:val="en"/>
        </w:rPr>
        <w:t xml:space="preserve"> bacterium that induces virus interference and mosquito life-shortening. The bacterium was initially studied as a dengue control in Queensland, and has also been deployed in Indonesia. In the Vietnam trial, mosquito survival was found to be highest in the dry/cool (January-April) and dry/hot (May-August) seasons, when more of the Hon </w:t>
      </w:r>
      <w:proofErr w:type="spellStart"/>
      <w:r w:rsidRPr="000E545D">
        <w:rPr>
          <w:rFonts w:cstheme="minorHAnsi"/>
          <w:lang w:val="en"/>
        </w:rPr>
        <w:t>Mieu</w:t>
      </w:r>
      <w:proofErr w:type="spellEnd"/>
      <w:r w:rsidRPr="000E545D">
        <w:rPr>
          <w:rFonts w:cstheme="minorHAnsi"/>
          <w:lang w:val="en"/>
        </w:rPr>
        <w:t xml:space="preserve"> mosquitoes survived to an age that they were able to transmit dengue. The work led to season specific </w:t>
      </w:r>
      <w:proofErr w:type="spellStart"/>
      <w:r w:rsidRPr="000E545D">
        <w:rPr>
          <w:rStyle w:val="Emphasis"/>
          <w:rFonts w:cstheme="minorHAnsi"/>
          <w:lang w:val="en"/>
        </w:rPr>
        <w:t>Aedes</w:t>
      </w:r>
      <w:proofErr w:type="spellEnd"/>
      <w:r w:rsidRPr="000E545D">
        <w:rPr>
          <w:rStyle w:val="Emphasis"/>
          <w:rFonts w:cstheme="minorHAnsi"/>
          <w:lang w:val="en"/>
        </w:rPr>
        <w:t xml:space="preserve"> </w:t>
      </w:r>
      <w:proofErr w:type="spellStart"/>
      <w:r w:rsidRPr="000E545D">
        <w:rPr>
          <w:rStyle w:val="Emphasis"/>
          <w:rFonts w:cstheme="minorHAnsi"/>
          <w:lang w:val="en"/>
        </w:rPr>
        <w:t>aegypti</w:t>
      </w:r>
      <w:proofErr w:type="spellEnd"/>
      <w:r w:rsidRPr="000E545D">
        <w:rPr>
          <w:rFonts w:cstheme="minorHAnsi"/>
          <w:lang w:val="en"/>
        </w:rPr>
        <w:t xml:space="preserve"> survival models to improve mosquito control strategies to break the dengue transmission cycle.</w:t>
      </w:r>
      <w:r w:rsidRPr="000E545D">
        <w:rPr>
          <w:rStyle w:val="FootnoteReference"/>
          <w:rFonts w:cstheme="minorHAnsi"/>
          <w:lang w:val="en"/>
        </w:rPr>
        <w:footnoteReference w:id="21"/>
      </w:r>
    </w:p>
    <w:p w:rsidR="003F4370" w:rsidRPr="000E545D" w:rsidRDefault="003F4370" w:rsidP="003B345B">
      <w:pPr>
        <w:pStyle w:val="ListParagraph"/>
        <w:numPr>
          <w:ilvl w:val="1"/>
          <w:numId w:val="22"/>
        </w:numPr>
        <w:spacing w:line="240" w:lineRule="auto"/>
        <w:rPr>
          <w:rFonts w:cstheme="minorHAnsi"/>
          <w:color w:val="FF0000"/>
        </w:rPr>
      </w:pPr>
      <w:r w:rsidRPr="000E545D">
        <w:rPr>
          <w:rFonts w:eastAsia="Times New Roman" w:cstheme="minorHAnsi"/>
        </w:rPr>
        <w:t>Sanofi Pasteur hopes to be first to market with a dengue vaccine in 2015</w:t>
      </w:r>
      <w:r w:rsidRPr="000E545D">
        <w:rPr>
          <w:rStyle w:val="FootnoteReference"/>
          <w:rFonts w:eastAsia="Times New Roman" w:cstheme="minorHAnsi"/>
        </w:rPr>
        <w:footnoteReference w:id="22"/>
      </w:r>
      <w:r w:rsidRPr="000E545D">
        <w:rPr>
          <w:rFonts w:eastAsia="Times New Roman" w:cstheme="minorHAnsi"/>
        </w:rPr>
        <w:t xml:space="preserve">. It began producing the vaccine last July to ensure it is ready to ship if the product is approved by regulators. Based on earlier clinical trial results, approval may not be assured. Data released in 2012 from a trial in Thailand showed </w:t>
      </w:r>
      <w:proofErr w:type="spellStart"/>
      <w:r w:rsidRPr="000E545D">
        <w:rPr>
          <w:rFonts w:eastAsia="Times New Roman" w:cstheme="minorHAnsi"/>
        </w:rPr>
        <w:t>Sanofi’s</w:t>
      </w:r>
      <w:proofErr w:type="spellEnd"/>
      <w:r w:rsidRPr="000E545D">
        <w:rPr>
          <w:rFonts w:eastAsia="Times New Roman" w:cstheme="minorHAnsi"/>
        </w:rPr>
        <w:t xml:space="preserve"> vaccine did not protect against one the disease’s four strains, which was the most prevalent in the country at the time. The vaccine, which is given in three shots six months apart, is currently being tested in 20,000 children aged 9-16 in Latin America and in 10,000 children aged 2-14 in southeast Asia. Guillaume Leroy, who heads the dengue vaccine project at Sanofi Pasteur, said the results of this final trial would start “trickling in” from mid-year Sanofi hopes to present consolidated clinical results at a conference on tropical diseases in November. Where will Sanofi market first if results are positive? “It’s hard to predict which one could be first, but one can easily imagine it’ll be one of the bigger countries, such as Brazil, Mexico, Malaysia, maybe the .Philippines,” Leroy said. </w:t>
      </w:r>
    </w:p>
    <w:p w:rsidR="003F4370" w:rsidRPr="000E545D" w:rsidRDefault="003F4370" w:rsidP="003B345B">
      <w:pPr>
        <w:pStyle w:val="ListParagraph"/>
        <w:numPr>
          <w:ilvl w:val="1"/>
          <w:numId w:val="22"/>
        </w:numPr>
        <w:spacing w:line="240" w:lineRule="auto"/>
        <w:rPr>
          <w:rFonts w:cstheme="minorHAnsi"/>
          <w:color w:val="FF0000"/>
        </w:rPr>
      </w:pPr>
      <w:r w:rsidRPr="000E545D">
        <w:rPr>
          <w:rFonts w:eastAsia="Times New Roman" w:cstheme="minorHAnsi"/>
        </w:rPr>
        <w:t xml:space="preserve">Takeda, Merck, GlaxoSmithKline and Novartis are also working on dengue vaccines, but these are not yet in phase III trials. </w:t>
      </w:r>
    </w:p>
    <w:p w:rsidR="003F4370" w:rsidRPr="000E545D" w:rsidRDefault="003F4370" w:rsidP="003B345B">
      <w:pPr>
        <w:pStyle w:val="ListParagraph"/>
        <w:numPr>
          <w:ilvl w:val="1"/>
          <w:numId w:val="22"/>
        </w:numPr>
        <w:spacing w:line="240" w:lineRule="auto"/>
        <w:rPr>
          <w:rFonts w:cstheme="minorHAnsi"/>
          <w:color w:val="FF0000"/>
        </w:rPr>
      </w:pPr>
      <w:r w:rsidRPr="000E545D">
        <w:rPr>
          <w:rFonts w:cstheme="minorHAnsi"/>
          <w:color w:val="191919"/>
          <w:lang w:val="en"/>
        </w:rPr>
        <w:t>Researchers at the Florida campus of The Scripps Research Institute have a $US2.3 million grant to study a family of viruses (“</w:t>
      </w:r>
      <w:proofErr w:type="spellStart"/>
      <w:r w:rsidRPr="000E545D">
        <w:rPr>
          <w:rFonts w:cstheme="minorHAnsi"/>
          <w:color w:val="191919"/>
          <w:lang w:val="en"/>
        </w:rPr>
        <w:t>flavivirus</w:t>
      </w:r>
      <w:proofErr w:type="spellEnd"/>
      <w:r w:rsidRPr="000E545D">
        <w:rPr>
          <w:rFonts w:cstheme="minorHAnsi"/>
          <w:color w:val="191919"/>
          <w:lang w:val="en"/>
        </w:rPr>
        <w:t xml:space="preserve">”) that cause dengue fever, West Nile, yellow fever and other diseases spread by mosquitoes and ticks. These diseases cause flulike symptoms, severe pain and sometimes encephalitis. Flaviviruses are estimated to affect 2.5 billion people globally each year and cause hundreds of thousands of deaths each year. There are no treatments but a small number of vaccines provide protection against a few. </w:t>
      </w:r>
    </w:p>
    <w:p w:rsidR="003F4370" w:rsidRPr="000E545D" w:rsidRDefault="003F4370" w:rsidP="003B345B">
      <w:pPr>
        <w:pStyle w:val="ListParagraph"/>
        <w:numPr>
          <w:ilvl w:val="1"/>
          <w:numId w:val="22"/>
        </w:numPr>
        <w:spacing w:line="240" w:lineRule="auto"/>
        <w:rPr>
          <w:rFonts w:cstheme="minorHAnsi"/>
          <w:color w:val="FF0000"/>
        </w:rPr>
      </w:pPr>
      <w:r w:rsidRPr="000E545D">
        <w:rPr>
          <w:rFonts w:cstheme="minorHAnsi"/>
        </w:rPr>
        <w:t>The University of Alabama at Birmingham has been awarded $35 million from the US National Institute of Allergy and Infectious Diseases (NIAID) to establish a research centre developing new drugs for global infectious disease threats. The Antiviral Drug Discovery and Development Center, or AD3C, will focus on four virus types: flaviviruses, coronaviruses</w:t>
      </w:r>
      <w:r w:rsidRPr="000E545D">
        <w:rPr>
          <w:rStyle w:val="FootnoteReference"/>
          <w:rFonts w:cstheme="minorHAnsi"/>
        </w:rPr>
        <w:footnoteReference w:id="23"/>
      </w:r>
      <w:r w:rsidRPr="000E545D">
        <w:rPr>
          <w:rFonts w:cstheme="minorHAnsi"/>
        </w:rPr>
        <w:t xml:space="preserve">, </w:t>
      </w:r>
      <w:proofErr w:type="spellStart"/>
      <w:r w:rsidRPr="000E545D">
        <w:rPr>
          <w:rFonts w:cstheme="minorHAnsi"/>
        </w:rPr>
        <w:t>alphaviruses</w:t>
      </w:r>
      <w:proofErr w:type="spellEnd"/>
      <w:r w:rsidRPr="000E545D">
        <w:rPr>
          <w:rFonts w:cstheme="minorHAnsi"/>
        </w:rPr>
        <w:t xml:space="preserve"> and influenza.</w:t>
      </w:r>
    </w:p>
    <w:p w:rsidR="003F4370" w:rsidRPr="000E545D" w:rsidRDefault="003F4370" w:rsidP="003B345B">
      <w:pPr>
        <w:pStyle w:val="ListParagraph"/>
        <w:numPr>
          <w:ilvl w:val="1"/>
          <w:numId w:val="22"/>
        </w:numPr>
        <w:spacing w:line="240" w:lineRule="auto"/>
        <w:rPr>
          <w:rStyle w:val="Strong"/>
          <w:rFonts w:cstheme="minorHAnsi"/>
          <w:b w:val="0"/>
          <w:bCs w:val="0"/>
        </w:rPr>
      </w:pPr>
      <w:r w:rsidRPr="000E545D">
        <w:rPr>
          <w:rFonts w:cstheme="minorHAnsi"/>
        </w:rPr>
        <w:t xml:space="preserve">Chikungunya is an </w:t>
      </w:r>
      <w:proofErr w:type="spellStart"/>
      <w:r w:rsidRPr="000E545D">
        <w:rPr>
          <w:rFonts w:cstheme="minorHAnsi"/>
        </w:rPr>
        <w:t>alphavirus</w:t>
      </w:r>
      <w:proofErr w:type="spellEnd"/>
      <w:r w:rsidRPr="000E545D">
        <w:rPr>
          <w:rFonts w:cstheme="minorHAnsi"/>
        </w:rPr>
        <w:t>, first isolated from the blood of a febrile patient in Tanzania in 1953, and has since caused epidemics in Africa and Asia and has been seen in limited areas of Europe. This year it has spread to the Caribbean. The European Centre for Disease Prevention and Control (ECDC) on 28 March reported that the number of confirmed and suspected chikungunya cases in the Caribbean was continuing to increase; so far there had been 3211 confirmed chikungunya cases reported, including 5 deaths, and there had been 15 282 suspected cases. The US is expecting locally acquired cases of</w:t>
      </w:r>
      <w:r w:rsidRPr="000E545D">
        <w:rPr>
          <w:rFonts w:cstheme="minorHAnsi"/>
          <w:b/>
        </w:rPr>
        <w:t xml:space="preserve"> </w:t>
      </w:r>
      <w:r w:rsidRPr="000E545D">
        <w:rPr>
          <w:rStyle w:val="Strong"/>
          <w:rFonts w:cstheme="minorHAnsi"/>
          <w:b w:val="0"/>
        </w:rPr>
        <w:t>chikungunya in the next year or two.</w:t>
      </w:r>
    </w:p>
    <w:p w:rsidR="005857D3" w:rsidRPr="000E545D" w:rsidRDefault="005857D3" w:rsidP="003B345B">
      <w:pPr>
        <w:pStyle w:val="ListParagraph"/>
        <w:numPr>
          <w:ilvl w:val="1"/>
          <w:numId w:val="22"/>
        </w:numPr>
        <w:spacing w:line="240" w:lineRule="auto"/>
        <w:rPr>
          <w:rFonts w:cstheme="minorHAnsi"/>
        </w:rPr>
      </w:pPr>
      <w:r w:rsidRPr="000E545D">
        <w:rPr>
          <w:rFonts w:cstheme="minorHAnsi"/>
        </w:rPr>
        <w:lastRenderedPageBreak/>
        <w:t>AT 26 March, the European Centre for Disease Prevention and Control (ECDC) estimated that more than 30,000 people in French Polynesia had sought medical care for Zika-like symptoms since the outbreak began in October</w:t>
      </w:r>
      <w:r w:rsidRPr="000E545D">
        <w:rPr>
          <w:rStyle w:val="FootnoteReference"/>
          <w:rFonts w:cstheme="minorHAnsi"/>
        </w:rPr>
        <w:footnoteReference w:id="24"/>
      </w:r>
      <w:r w:rsidRPr="000E545D">
        <w:rPr>
          <w:rFonts w:cstheme="minorHAnsi"/>
        </w:rPr>
        <w:t xml:space="preserve">. By then there were 8,600 confirmed cases. </w:t>
      </w:r>
    </w:p>
    <w:p w:rsidR="005857D3" w:rsidRPr="000E545D" w:rsidRDefault="005857D3" w:rsidP="003B345B">
      <w:pPr>
        <w:pStyle w:val="ListParagraph"/>
        <w:numPr>
          <w:ilvl w:val="1"/>
          <w:numId w:val="22"/>
        </w:numPr>
        <w:spacing w:line="240" w:lineRule="auto"/>
        <w:rPr>
          <w:rFonts w:cstheme="minorHAnsi"/>
          <w:color w:val="FF0000"/>
        </w:rPr>
      </w:pPr>
      <w:r w:rsidRPr="000E545D">
        <w:rPr>
          <w:rFonts w:cstheme="minorHAnsi"/>
        </w:rPr>
        <w:t>In New Caledonia, the first locally acquired case of Zika was reported in mid-January. The number of confirmed cases by 18 March was 276.</w:t>
      </w:r>
    </w:p>
    <w:p w:rsidR="005857D3" w:rsidRPr="000E545D" w:rsidRDefault="005857D3" w:rsidP="003B345B">
      <w:pPr>
        <w:pStyle w:val="ListParagraph"/>
        <w:numPr>
          <w:ilvl w:val="1"/>
          <w:numId w:val="22"/>
        </w:numPr>
        <w:spacing w:line="240" w:lineRule="auto"/>
        <w:rPr>
          <w:rFonts w:cstheme="minorHAnsi"/>
        </w:rPr>
      </w:pPr>
      <w:r w:rsidRPr="000E545D">
        <w:rPr>
          <w:rFonts w:cstheme="minorHAnsi"/>
        </w:rPr>
        <w:t xml:space="preserve">By 25 March there had been 49 confirmed cases of Zika virus (a </w:t>
      </w:r>
      <w:proofErr w:type="spellStart"/>
      <w:r w:rsidRPr="000E545D">
        <w:rPr>
          <w:rFonts w:cstheme="minorHAnsi"/>
        </w:rPr>
        <w:t>flavivirus</w:t>
      </w:r>
      <w:proofErr w:type="spellEnd"/>
      <w:r w:rsidRPr="000E545D">
        <w:rPr>
          <w:rFonts w:cstheme="minorHAnsi"/>
        </w:rPr>
        <w:t>) in the Cook Islands, while 630 people were believed to have suffered from the mosquito-borne disease.</w:t>
      </w:r>
    </w:p>
    <w:p w:rsidR="005857D3" w:rsidRPr="000E545D" w:rsidRDefault="005857D3" w:rsidP="003B345B">
      <w:pPr>
        <w:pStyle w:val="ListParagraph"/>
        <w:numPr>
          <w:ilvl w:val="1"/>
          <w:numId w:val="22"/>
        </w:numPr>
        <w:spacing w:line="240" w:lineRule="auto"/>
        <w:rPr>
          <w:rFonts w:cstheme="minorHAnsi"/>
        </w:rPr>
      </w:pPr>
      <w:r w:rsidRPr="000E545D">
        <w:rPr>
          <w:rFonts w:cstheme="minorHAnsi"/>
        </w:rPr>
        <w:t xml:space="preserve">The Bill &amp; Melinda Gates Foundation </w:t>
      </w:r>
      <w:proofErr w:type="gramStart"/>
      <w:r w:rsidRPr="000E545D">
        <w:rPr>
          <w:rFonts w:cstheme="minorHAnsi"/>
        </w:rPr>
        <w:t>has</w:t>
      </w:r>
      <w:proofErr w:type="gramEnd"/>
      <w:r w:rsidRPr="000E545D">
        <w:rPr>
          <w:rFonts w:cstheme="minorHAnsi"/>
        </w:rPr>
        <w:t xml:space="preserve"> awarded $U23 million over five years for University of Notre Dame research that seeks to prevent malaria and dengue fever.  </w:t>
      </w:r>
    </w:p>
    <w:p w:rsidR="001A20BD" w:rsidRPr="000E545D" w:rsidRDefault="001A20BD" w:rsidP="001A20BD">
      <w:pPr>
        <w:pStyle w:val="Heading3"/>
        <w:rPr>
          <w:rFonts w:asciiTheme="minorHAnsi" w:hAnsiTheme="minorHAnsi" w:cstheme="minorHAnsi"/>
        </w:rPr>
      </w:pPr>
      <w:bookmarkStart w:id="19" w:name="_Toc386454278"/>
      <w:bookmarkEnd w:id="18"/>
      <w:r w:rsidRPr="000E545D">
        <w:rPr>
          <w:rFonts w:asciiTheme="minorHAnsi" w:hAnsiTheme="minorHAnsi" w:cstheme="minorHAnsi"/>
        </w:rPr>
        <w:t>Influenza</w:t>
      </w:r>
      <w:r w:rsidR="00483BF8" w:rsidRPr="000E545D">
        <w:rPr>
          <w:rFonts w:asciiTheme="minorHAnsi" w:hAnsiTheme="minorHAnsi" w:cstheme="minorHAnsi"/>
        </w:rPr>
        <w:t>: strains, spread, prevention and treatment</w:t>
      </w:r>
      <w:bookmarkEnd w:id="19"/>
    </w:p>
    <w:p w:rsidR="00475647" w:rsidRPr="000E545D" w:rsidRDefault="00475647" w:rsidP="00475647">
      <w:pPr>
        <w:pStyle w:val="Heading4"/>
        <w:rPr>
          <w:rFonts w:asciiTheme="minorHAnsi" w:hAnsiTheme="minorHAnsi" w:cstheme="minorHAnsi"/>
        </w:rPr>
      </w:pPr>
      <w:r w:rsidRPr="000E545D">
        <w:rPr>
          <w:rFonts w:asciiTheme="minorHAnsi" w:hAnsiTheme="minorHAnsi" w:cstheme="minorHAnsi"/>
        </w:rPr>
        <w:t>H7N9</w:t>
      </w:r>
    </w:p>
    <w:p w:rsidR="00573E00" w:rsidRPr="000E545D" w:rsidRDefault="00BC1F71" w:rsidP="006711C8">
      <w:pPr>
        <w:pStyle w:val="ListParagraph"/>
        <w:numPr>
          <w:ilvl w:val="1"/>
          <w:numId w:val="6"/>
        </w:numPr>
        <w:spacing w:line="240" w:lineRule="auto"/>
        <w:rPr>
          <w:rFonts w:cstheme="minorHAnsi"/>
          <w:color w:val="FF0000"/>
        </w:rPr>
      </w:pPr>
      <w:r w:rsidRPr="000E545D">
        <w:rPr>
          <w:rFonts w:cstheme="minorHAnsi"/>
        </w:rPr>
        <w:t xml:space="preserve">As of 29 March, 393 human cases of H7N9 had been confirmed on the Chinese mainland. A Hong Kong government spokesman said </w:t>
      </w:r>
      <w:r w:rsidRPr="000E545D">
        <w:rPr>
          <w:rFonts w:cstheme="minorHAnsi"/>
          <w:color w:val="000000"/>
        </w:rPr>
        <w:t>"All boundary control points have implemented disease prevention and control measures. Thermal imaging systems are in place for body temperature checks of inbound travellers. Random temperature checks by handheld devices have also been arranged. Suspected cases will be immediately referred to public hospitals for follow-up investigation….. Regarding health education for travellers, display of posters in departure and arrival halls, in-flight public announcements, environmental health inspection and provision of regular updates to the travel industry via meetings and correspondence are proceeding.”</w:t>
      </w:r>
      <w:r w:rsidR="00573E00" w:rsidRPr="000E545D">
        <w:rPr>
          <w:rFonts w:cstheme="minorHAnsi"/>
          <w:color w:val="000000"/>
        </w:rPr>
        <w:t xml:space="preserve"> China continued to report cases throughout Ap</w:t>
      </w:r>
      <w:r w:rsidR="00D537A1" w:rsidRPr="000E545D">
        <w:rPr>
          <w:rFonts w:cstheme="minorHAnsi"/>
          <w:color w:val="000000"/>
        </w:rPr>
        <w:t>ril, with, for example, two ea</w:t>
      </w:r>
      <w:r w:rsidR="00573E00" w:rsidRPr="000E545D">
        <w:rPr>
          <w:rFonts w:cstheme="minorHAnsi"/>
          <w:color w:val="000000"/>
        </w:rPr>
        <w:t>ch on 17, 21 and 23 April.</w:t>
      </w:r>
      <w:r w:rsidR="00D537A1" w:rsidRPr="000E545D">
        <w:rPr>
          <w:rFonts w:cstheme="minorHAnsi"/>
          <w:color w:val="000000"/>
        </w:rPr>
        <w:t xml:space="preserve"> Taiwan and Hong </w:t>
      </w:r>
      <w:proofErr w:type="spellStart"/>
      <w:proofErr w:type="gramStart"/>
      <w:r w:rsidR="00D537A1" w:rsidRPr="000E545D">
        <w:rPr>
          <w:rFonts w:cstheme="minorHAnsi"/>
          <w:color w:val="000000"/>
        </w:rPr>
        <w:t>kong</w:t>
      </w:r>
      <w:proofErr w:type="spellEnd"/>
      <w:proofErr w:type="gramEnd"/>
      <w:r w:rsidR="00D537A1" w:rsidRPr="000E545D">
        <w:rPr>
          <w:rFonts w:cstheme="minorHAnsi"/>
          <w:color w:val="000000"/>
        </w:rPr>
        <w:t xml:space="preserve"> reported imported cases.</w:t>
      </w:r>
    </w:p>
    <w:p w:rsidR="004126ED" w:rsidRPr="000E545D" w:rsidRDefault="00A92620" w:rsidP="00A92620">
      <w:pPr>
        <w:pStyle w:val="Heading4"/>
        <w:rPr>
          <w:rFonts w:asciiTheme="minorHAnsi" w:hAnsiTheme="minorHAnsi" w:cstheme="minorHAnsi"/>
          <w:color w:val="FF0000"/>
        </w:rPr>
      </w:pPr>
      <w:r w:rsidRPr="000E545D">
        <w:rPr>
          <w:rFonts w:asciiTheme="minorHAnsi" w:hAnsiTheme="minorHAnsi" w:cstheme="minorHAnsi"/>
        </w:rPr>
        <w:t>H1N1</w:t>
      </w:r>
    </w:p>
    <w:p w:rsidR="00BC1F71" w:rsidRPr="000E545D" w:rsidRDefault="00BC1F71" w:rsidP="006711C8">
      <w:pPr>
        <w:pStyle w:val="ListParagraph"/>
        <w:numPr>
          <w:ilvl w:val="1"/>
          <w:numId w:val="8"/>
        </w:numPr>
        <w:spacing w:line="240" w:lineRule="auto"/>
        <w:rPr>
          <w:rFonts w:cstheme="minorHAnsi"/>
          <w:color w:val="FF0000"/>
        </w:rPr>
      </w:pPr>
      <w:r w:rsidRPr="000E545D">
        <w:rPr>
          <w:rFonts w:eastAsia="Times New Roman" w:cstheme="minorHAnsi"/>
        </w:rPr>
        <w:t xml:space="preserve">New Zealand has had a pre- winter surge in influenza, the </w:t>
      </w:r>
      <w:r w:rsidRPr="000E545D">
        <w:rPr>
          <w:rFonts w:cstheme="minorHAnsi"/>
        </w:rPr>
        <w:t>A (H1N1) flu strain, that caused the 2009 swine flu pandemic, infecting 800,000 New Zealanders.</w:t>
      </w:r>
    </w:p>
    <w:p w:rsidR="00483BF8" w:rsidRPr="000E545D" w:rsidRDefault="00483BF8" w:rsidP="00483BF8">
      <w:pPr>
        <w:pStyle w:val="Heading3"/>
        <w:rPr>
          <w:rFonts w:asciiTheme="minorHAnsi" w:eastAsia="Times New Roman" w:hAnsiTheme="minorHAnsi" w:cstheme="minorHAnsi"/>
        </w:rPr>
      </w:pPr>
      <w:bookmarkStart w:id="20" w:name="_Toc386454279"/>
      <w:r w:rsidRPr="000E545D">
        <w:rPr>
          <w:rFonts w:asciiTheme="minorHAnsi" w:eastAsia="Times New Roman" w:hAnsiTheme="minorHAnsi" w:cstheme="minorHAnsi"/>
        </w:rPr>
        <w:t>MERS-CoV</w:t>
      </w:r>
      <w:bookmarkEnd w:id="20"/>
    </w:p>
    <w:p w:rsidR="00F7513C" w:rsidRPr="000E545D" w:rsidRDefault="00F7513C" w:rsidP="00F7513C">
      <w:pPr>
        <w:pStyle w:val="ListParagraph"/>
        <w:spacing w:line="240" w:lineRule="auto"/>
        <w:ind w:left="360"/>
        <w:rPr>
          <w:rFonts w:cstheme="minorHAnsi"/>
        </w:rPr>
      </w:pPr>
    </w:p>
    <w:p w:rsidR="005857D3" w:rsidRPr="000E545D" w:rsidRDefault="005857D3" w:rsidP="003B345B">
      <w:pPr>
        <w:pStyle w:val="ListParagraph"/>
        <w:numPr>
          <w:ilvl w:val="1"/>
          <w:numId w:val="7"/>
        </w:numPr>
        <w:spacing w:line="240" w:lineRule="auto"/>
        <w:rPr>
          <w:rFonts w:cstheme="minorHAnsi"/>
        </w:rPr>
      </w:pPr>
      <w:r w:rsidRPr="000E545D">
        <w:rPr>
          <w:rFonts w:cstheme="minorHAnsi"/>
        </w:rPr>
        <w:t>WHO announced that genetic data show the MERS-CoV isolates in camels and humans are closely linked and "suggest the current observed pattern of disease in humans is the result of repeated introductions into human populations from camels, with subsequent limited human-to-human transmission, rather than sustained community transmission among humans. As such, discovery of the route of transmission between camels and humans remains critical to stopping the initial introduction into human populations."</w:t>
      </w:r>
    </w:p>
    <w:p w:rsidR="00D537A1" w:rsidRPr="000E545D" w:rsidRDefault="005857D3" w:rsidP="00D537A1">
      <w:pPr>
        <w:pStyle w:val="ListParagraph"/>
        <w:numPr>
          <w:ilvl w:val="1"/>
          <w:numId w:val="23"/>
        </w:numPr>
        <w:spacing w:line="240" w:lineRule="auto"/>
        <w:rPr>
          <w:rFonts w:cstheme="minorHAnsi"/>
        </w:rPr>
      </w:pPr>
      <w:r w:rsidRPr="000E545D">
        <w:rPr>
          <w:rFonts w:cstheme="minorHAnsi"/>
        </w:rPr>
        <w:t xml:space="preserve">From September 2012 to1 April 2014, WHO was informed of a global total of 207 laboratory-confirmed cases of infection with MERS-CoV, including 87 </w:t>
      </w:r>
      <w:proofErr w:type="gramStart"/>
      <w:r w:rsidRPr="000E545D">
        <w:rPr>
          <w:rFonts w:cstheme="minorHAnsi"/>
        </w:rPr>
        <w:t>deaths.</w:t>
      </w:r>
      <w:proofErr w:type="gramEnd"/>
    </w:p>
    <w:p w:rsidR="00D537A1" w:rsidRPr="000E545D" w:rsidRDefault="00D537A1" w:rsidP="00C528DE">
      <w:pPr>
        <w:pStyle w:val="ListParagraph"/>
        <w:numPr>
          <w:ilvl w:val="1"/>
          <w:numId w:val="23"/>
        </w:numPr>
        <w:spacing w:line="240" w:lineRule="auto"/>
        <w:rPr>
          <w:rFonts w:cstheme="minorHAnsi"/>
        </w:rPr>
      </w:pPr>
      <w:r w:rsidRPr="000E545D">
        <w:rPr>
          <w:rFonts w:cstheme="minorHAnsi"/>
        </w:rPr>
        <w:t xml:space="preserve">During April, the MERS-CoV experience gained momentum. On 26 April, Saudi Arabia had confirmed 10 cases in 24 hours. The Saudi Health Minister had already been removed. The World Health Organization (WHO) had already issued a statement responding to the MERS spike, admitting </w:t>
      </w:r>
      <w:r w:rsidRPr="000E545D">
        <w:rPr>
          <w:rFonts w:cstheme="minorHAnsi"/>
          <w:lang w:val="en-US"/>
        </w:rPr>
        <w:t xml:space="preserve">“Approximately 75 per cent of the recently reported cases are secondary cases, meaning that they are considered to have acquired the </w:t>
      </w:r>
      <w:r w:rsidRPr="000E545D">
        <w:rPr>
          <w:rStyle w:val="ilad"/>
          <w:rFonts w:cstheme="minorHAnsi"/>
          <w:lang w:val="en-US"/>
        </w:rPr>
        <w:t>infection</w:t>
      </w:r>
      <w:r w:rsidRPr="000E545D">
        <w:rPr>
          <w:rFonts w:cstheme="minorHAnsi"/>
          <w:lang w:val="en-US"/>
        </w:rPr>
        <w:t xml:space="preserve"> from another case through human-to-human </w:t>
      </w:r>
      <w:r w:rsidRPr="000E545D">
        <w:rPr>
          <w:rStyle w:val="ilad"/>
          <w:rFonts w:cstheme="minorHAnsi"/>
          <w:lang w:val="en-US"/>
        </w:rPr>
        <w:t>transmission</w:t>
      </w:r>
      <w:r w:rsidR="00C528DE" w:rsidRPr="000E545D">
        <w:rPr>
          <w:rFonts w:cstheme="minorHAnsi"/>
          <w:lang w:val="en-US"/>
        </w:rPr>
        <w:t>.</w:t>
      </w:r>
      <w:r w:rsidR="00BC113C" w:rsidRPr="000E545D">
        <w:rPr>
          <w:rFonts w:cstheme="minorHAnsi"/>
          <w:lang w:val="en-US"/>
        </w:rPr>
        <w:t>”</w:t>
      </w:r>
    </w:p>
    <w:p w:rsidR="007C0A50" w:rsidRPr="000E545D" w:rsidRDefault="007C0A50" w:rsidP="005857D3">
      <w:pPr>
        <w:pStyle w:val="Heading3"/>
        <w:rPr>
          <w:rFonts w:asciiTheme="minorHAnsi" w:eastAsia="Times New Roman" w:hAnsiTheme="minorHAnsi" w:cstheme="minorHAnsi"/>
        </w:rPr>
      </w:pPr>
      <w:bookmarkStart w:id="21" w:name="_Toc386454280"/>
      <w:r w:rsidRPr="000E545D">
        <w:rPr>
          <w:rFonts w:asciiTheme="minorHAnsi" w:eastAsia="Times New Roman" w:hAnsiTheme="minorHAnsi" w:cstheme="minorHAnsi"/>
        </w:rPr>
        <w:t>Ebola Virus Disease (EVD)-originating in West Africa</w:t>
      </w:r>
      <w:bookmarkEnd w:id="21"/>
    </w:p>
    <w:p w:rsidR="005857D3" w:rsidRPr="000E545D" w:rsidRDefault="005857D3" w:rsidP="003B345B">
      <w:pPr>
        <w:pStyle w:val="ListParagraph"/>
        <w:numPr>
          <w:ilvl w:val="1"/>
          <w:numId w:val="9"/>
        </w:numPr>
        <w:spacing w:line="240" w:lineRule="auto"/>
        <w:rPr>
          <w:rFonts w:cstheme="minorHAnsi"/>
        </w:rPr>
      </w:pPr>
      <w:r w:rsidRPr="000E545D">
        <w:rPr>
          <w:rFonts w:cstheme="minorHAnsi"/>
        </w:rPr>
        <w:t>As of 31 March 2014, Guinea’s Ministry of Health had reported 122 clinically compatible cases of EVD, of which 24 were laboratory confirmed, and 98 were probable (78) or suspected (22) cases. The total included 80 deaths, of who</w:t>
      </w:r>
      <w:bookmarkStart w:id="22" w:name="_GoBack"/>
      <w:bookmarkEnd w:id="22"/>
      <w:r w:rsidRPr="000E545D">
        <w:rPr>
          <w:rFonts w:cstheme="minorHAnsi"/>
        </w:rPr>
        <w:t xml:space="preserve">m 13 have been laboratory </w:t>
      </w:r>
      <w:r w:rsidRPr="000E545D">
        <w:rPr>
          <w:rFonts w:cstheme="minorHAnsi"/>
        </w:rPr>
        <w:lastRenderedPageBreak/>
        <w:t>confirmed for EVD with the remaining 67 regarded as probable. As of 30 March 2014, 20 patients were in isolation. Eleven health care workers were among the probable and suspected cases. Efforts were being made to prompt community awareness about the importance of hand washing, and using personal protective equipment when handling potentially contaminated blood and body fluids and during environmental and disinfection. Safe burial is a major concern</w:t>
      </w:r>
      <w:r w:rsidRPr="000E545D">
        <w:rPr>
          <w:rStyle w:val="FootnoteReference"/>
          <w:rFonts w:cstheme="minorHAnsi"/>
        </w:rPr>
        <w:footnoteReference w:id="25"/>
      </w:r>
      <w:r w:rsidRPr="000E545D">
        <w:rPr>
          <w:rFonts w:cstheme="minorHAnsi"/>
        </w:rPr>
        <w:t xml:space="preserve">. This is the first Ebola epidemic to strike Guinea. Guinea has banned the sale and consumption of bats and other bush meat. It has banned public funerals </w:t>
      </w:r>
      <w:proofErr w:type="spellStart"/>
      <w:r w:rsidRPr="000E545D">
        <w:rPr>
          <w:rFonts w:cstheme="minorHAnsi"/>
        </w:rPr>
        <w:t>forvictims</w:t>
      </w:r>
      <w:proofErr w:type="spellEnd"/>
      <w:r w:rsidRPr="000E545D">
        <w:rPr>
          <w:rFonts w:cstheme="minorHAnsi"/>
        </w:rPr>
        <w:t>. Volunteers from the Guinean Red Cross have been dealing with infected bodies and disinfecting the homes of victims.</w:t>
      </w:r>
    </w:p>
    <w:p w:rsidR="005857D3" w:rsidRPr="000E545D" w:rsidRDefault="005857D3" w:rsidP="003B345B">
      <w:pPr>
        <w:pStyle w:val="ListParagraph"/>
        <w:numPr>
          <w:ilvl w:val="1"/>
          <w:numId w:val="9"/>
        </w:numPr>
        <w:spacing w:line="240" w:lineRule="auto"/>
        <w:rPr>
          <w:rFonts w:cstheme="minorHAnsi"/>
        </w:rPr>
      </w:pPr>
      <w:r w:rsidRPr="000E545D">
        <w:rPr>
          <w:rFonts w:cstheme="minorHAnsi"/>
        </w:rPr>
        <w:t xml:space="preserve">At 1 April 2014 Liberia’s Ministry of Health had reported eight clinically compatible cases of EVD, including two laboratory-confirmed cases. Two patients had died. </w:t>
      </w:r>
    </w:p>
    <w:p w:rsidR="005857D3" w:rsidRPr="000E545D" w:rsidRDefault="005857D3" w:rsidP="003B345B">
      <w:pPr>
        <w:pStyle w:val="ListParagraph"/>
        <w:numPr>
          <w:ilvl w:val="1"/>
          <w:numId w:val="9"/>
        </w:numPr>
        <w:spacing w:line="240" w:lineRule="auto"/>
        <w:rPr>
          <w:rFonts w:cstheme="minorHAnsi"/>
        </w:rPr>
      </w:pPr>
      <w:r w:rsidRPr="000E545D">
        <w:rPr>
          <w:rFonts w:cstheme="minorHAnsi"/>
        </w:rPr>
        <w:t xml:space="preserve">Sierra Leone’s Ministry of Health said it is vigilant following the deaths of two probable cases of EVD in one family who died in Guinea but whose bodies were repatriated to Sierra Leone. </w:t>
      </w:r>
    </w:p>
    <w:p w:rsidR="001A20BD" w:rsidRPr="000E545D" w:rsidRDefault="001A20BD" w:rsidP="001A20BD">
      <w:pPr>
        <w:pStyle w:val="Heading3"/>
        <w:rPr>
          <w:rFonts w:asciiTheme="minorHAnsi" w:hAnsiTheme="minorHAnsi" w:cstheme="minorHAnsi"/>
        </w:rPr>
      </w:pPr>
      <w:bookmarkStart w:id="23" w:name="_Toc386454281"/>
      <w:r w:rsidRPr="000E545D">
        <w:rPr>
          <w:rFonts w:asciiTheme="minorHAnsi" w:hAnsiTheme="minorHAnsi" w:cstheme="minorHAnsi"/>
        </w:rPr>
        <w:t>Other</w:t>
      </w:r>
      <w:r w:rsidR="00483BF8" w:rsidRPr="000E545D">
        <w:rPr>
          <w:rFonts w:asciiTheme="minorHAnsi" w:hAnsiTheme="minorHAnsi" w:cstheme="minorHAnsi"/>
        </w:rPr>
        <w:t xml:space="preserve"> diseases: occurrence, prevention and treatment</w:t>
      </w:r>
      <w:bookmarkEnd w:id="23"/>
    </w:p>
    <w:p w:rsidR="005857D3" w:rsidRPr="000E545D" w:rsidRDefault="005857D3" w:rsidP="003B345B">
      <w:pPr>
        <w:pStyle w:val="ListParagraph"/>
        <w:numPr>
          <w:ilvl w:val="1"/>
          <w:numId w:val="25"/>
        </w:numPr>
        <w:spacing w:after="0" w:line="240" w:lineRule="auto"/>
        <w:rPr>
          <w:rFonts w:cstheme="minorHAnsi"/>
        </w:rPr>
      </w:pPr>
      <w:r w:rsidRPr="000E545D">
        <w:rPr>
          <w:rFonts w:cstheme="minorHAnsi"/>
        </w:rPr>
        <w:t xml:space="preserve">Health workers in Papua New Guinea fear a galloping </w:t>
      </w:r>
      <w:r w:rsidRPr="000E545D">
        <w:rPr>
          <w:rFonts w:cstheme="minorHAnsi"/>
          <w:b/>
        </w:rPr>
        <w:t xml:space="preserve">tuberculosis </w:t>
      </w:r>
      <w:r w:rsidRPr="000E545D">
        <w:rPr>
          <w:rFonts w:cstheme="minorHAnsi"/>
        </w:rPr>
        <w:t xml:space="preserve">epidemic, health workers say 15,000 new cases are recorded annually. WHO says a quarter of those are </w:t>
      </w:r>
      <w:proofErr w:type="gramStart"/>
      <w:r w:rsidRPr="000E545D">
        <w:rPr>
          <w:rFonts w:cstheme="minorHAnsi"/>
        </w:rPr>
        <w:t>fatal.</w:t>
      </w:r>
      <w:proofErr w:type="gramEnd"/>
      <w:r w:rsidRPr="000E545D">
        <w:rPr>
          <w:rFonts w:cstheme="minorHAnsi"/>
        </w:rPr>
        <w:t xml:space="preserve"> .UNAIDS PNG coordinator Stuart Watson reports that it is people living with HIV in PNG who are most at risk of contracting TB. He said multi-drug resistant (MDR) and extra-drug resistant (XDR) TB are increasing in PNG. </w:t>
      </w:r>
    </w:p>
    <w:p w:rsidR="005857D3" w:rsidRPr="000E545D" w:rsidRDefault="005857D3" w:rsidP="003B345B">
      <w:pPr>
        <w:pStyle w:val="ListParagraph"/>
        <w:numPr>
          <w:ilvl w:val="1"/>
          <w:numId w:val="24"/>
        </w:numPr>
        <w:spacing w:line="240" w:lineRule="auto"/>
        <w:rPr>
          <w:rFonts w:cstheme="minorHAnsi"/>
        </w:rPr>
      </w:pPr>
      <w:r w:rsidRPr="000E545D">
        <w:rPr>
          <w:rFonts w:cstheme="minorHAnsi"/>
        </w:rPr>
        <w:t xml:space="preserve">India and China together account for almost 40 per cent of the world's known TB cases India had an estimated 2.8 million people infected with TB in 2012, whereas China had half that number. </w:t>
      </w:r>
    </w:p>
    <w:p w:rsidR="005857D3" w:rsidRPr="000E545D" w:rsidRDefault="005857D3" w:rsidP="003B345B">
      <w:pPr>
        <w:pStyle w:val="ListParagraph"/>
        <w:numPr>
          <w:ilvl w:val="1"/>
          <w:numId w:val="24"/>
        </w:numPr>
        <w:spacing w:line="240" w:lineRule="auto"/>
        <w:rPr>
          <w:rFonts w:cstheme="minorHAnsi"/>
          <w:color w:val="76923C" w:themeColor="accent3" w:themeShade="BF"/>
        </w:rPr>
      </w:pPr>
      <w:r w:rsidRPr="000E545D">
        <w:rPr>
          <w:rFonts w:cstheme="minorHAnsi"/>
        </w:rPr>
        <w:t>Of the 40 000 TB cases recorded in Bombay in 2013, more than ten per cent were relapse cases. The annual count of relapse cases has remained constant for a number of years. Over the last three years, the count of MDR and extensively drug resistant (XDR) TB cases has increased substantially</w:t>
      </w:r>
      <w:r w:rsidRPr="000E545D">
        <w:rPr>
          <w:rStyle w:val="FootnoteReference"/>
          <w:rFonts w:cstheme="minorHAnsi"/>
        </w:rPr>
        <w:footnoteReference w:id="26"/>
      </w:r>
      <w:r w:rsidRPr="000E545D">
        <w:rPr>
          <w:rFonts w:cstheme="minorHAnsi"/>
        </w:rPr>
        <w:t>.</w:t>
      </w:r>
      <w:r w:rsidRPr="000E545D">
        <w:rPr>
          <w:rFonts w:cstheme="minorHAnsi"/>
          <w:highlight w:val="green"/>
        </w:rPr>
        <w:t xml:space="preserve"> </w:t>
      </w:r>
    </w:p>
    <w:p w:rsidR="005857D3" w:rsidRPr="000E545D" w:rsidRDefault="00303345" w:rsidP="003B345B">
      <w:pPr>
        <w:pStyle w:val="ListParagraph"/>
        <w:numPr>
          <w:ilvl w:val="1"/>
          <w:numId w:val="24"/>
        </w:numPr>
        <w:spacing w:line="240" w:lineRule="auto"/>
        <w:rPr>
          <w:rFonts w:cstheme="minorHAnsi"/>
        </w:rPr>
      </w:pPr>
      <w:r w:rsidRPr="000E545D">
        <w:rPr>
          <w:rFonts w:eastAsia="Times New Roman" w:cstheme="minorHAnsi"/>
          <w:lang w:val="en" w:eastAsia="en-AU"/>
        </w:rPr>
        <w:t xml:space="preserve">Experts have reassured UK members of parliament that very few cases of </w:t>
      </w:r>
      <w:r w:rsidRPr="000E545D">
        <w:rPr>
          <w:rFonts w:eastAsia="Times New Roman" w:cstheme="minorHAnsi"/>
          <w:b/>
          <w:lang w:val="en" w:eastAsia="en-AU"/>
        </w:rPr>
        <w:t>vCJD</w:t>
      </w:r>
      <w:r w:rsidRPr="000E545D">
        <w:rPr>
          <w:rFonts w:eastAsia="Times New Roman" w:cstheme="minorHAnsi"/>
          <w:lang w:val="en" w:eastAsia="en-AU"/>
        </w:rPr>
        <w:t xml:space="preserve"> are missed by doctors. However, as there has been no test for it, the precise number of people with the degenerative brain disease remains uncertain. This human form of bovine spongiform encephalopathy (BSE</w:t>
      </w:r>
      <w:proofErr w:type="gramStart"/>
      <w:r w:rsidRPr="000E545D">
        <w:rPr>
          <w:rFonts w:eastAsia="Times New Roman" w:cstheme="minorHAnsi"/>
          <w:lang w:val="en" w:eastAsia="en-AU"/>
        </w:rPr>
        <w:t>),</w:t>
      </w:r>
      <w:proofErr w:type="gramEnd"/>
      <w:r w:rsidRPr="000E545D">
        <w:rPr>
          <w:rFonts w:eastAsia="Times New Roman" w:cstheme="minorHAnsi"/>
          <w:lang w:val="en" w:eastAsia="en-AU"/>
        </w:rPr>
        <w:t xml:space="preserve"> appeared after widespread exposure to BSE prions in the late 1980s and early 1990s through contaminated meat. A recent study published in the </w:t>
      </w:r>
      <w:r w:rsidRPr="000E545D">
        <w:rPr>
          <w:rFonts w:eastAsia="Times New Roman" w:cstheme="minorHAnsi"/>
          <w:i/>
          <w:iCs/>
          <w:lang w:val="en" w:eastAsia="en-AU"/>
        </w:rPr>
        <w:t>BMJ</w:t>
      </w:r>
      <w:r w:rsidRPr="000E545D">
        <w:rPr>
          <w:rStyle w:val="FootnoteReference"/>
          <w:rFonts w:eastAsia="Times New Roman" w:cstheme="minorHAnsi"/>
          <w:lang w:val="en" w:eastAsia="en-AU"/>
        </w:rPr>
        <w:footnoteReference w:id="27"/>
      </w:r>
      <w:r w:rsidRPr="000E545D">
        <w:rPr>
          <w:rFonts w:eastAsia="Times New Roman" w:cstheme="minorHAnsi"/>
          <w:lang w:val="en" w:eastAsia="en-AU"/>
        </w:rPr>
        <w:t xml:space="preserve"> estimated that 1 in 2000 people in the UK carried vCJD proteins, although only 177 clinical cases had occurred thus far</w:t>
      </w:r>
      <w:r w:rsidR="005857D3" w:rsidRPr="000E545D">
        <w:rPr>
          <w:rFonts w:cstheme="minorHAnsi"/>
        </w:rPr>
        <w:t xml:space="preserve">WHO South-East Asia Region [SEARO], home to a quarter of the world's population, was certified </w:t>
      </w:r>
      <w:r w:rsidR="005857D3" w:rsidRPr="000E545D">
        <w:rPr>
          <w:rFonts w:cstheme="minorHAnsi"/>
          <w:b/>
        </w:rPr>
        <w:t>polio</w:t>
      </w:r>
      <w:r w:rsidR="005857D3" w:rsidRPr="000E545D">
        <w:rPr>
          <w:rFonts w:cstheme="minorHAnsi"/>
        </w:rPr>
        <w:t>-free on 27 March 2014 by an independent commission under the WHO certification process. It is the fourth of six WHO Regions to be certified, one more towards global polio eradication. Eighty per cent of the world's population now resides in certified polio-free regions.</w:t>
      </w:r>
    </w:p>
    <w:p w:rsidR="005857D3" w:rsidRPr="000E545D" w:rsidRDefault="005857D3" w:rsidP="003B345B">
      <w:pPr>
        <w:pStyle w:val="ListParagraph"/>
        <w:numPr>
          <w:ilvl w:val="1"/>
          <w:numId w:val="24"/>
        </w:numPr>
        <w:spacing w:line="240" w:lineRule="auto"/>
        <w:rPr>
          <w:rFonts w:cstheme="minorHAnsi"/>
          <w:color w:val="FF0000"/>
        </w:rPr>
      </w:pPr>
      <w:r w:rsidRPr="000E545D">
        <w:rPr>
          <w:rFonts w:cstheme="minorHAnsi"/>
        </w:rPr>
        <w:t>With continuing incidence of polio in the Syrian Arab Republic with international transmission, the polio outbreak response in the Middle East remains in place to contain regional spread.</w:t>
      </w:r>
    </w:p>
    <w:p w:rsidR="00303345" w:rsidRPr="000E545D" w:rsidRDefault="00303345" w:rsidP="003B345B">
      <w:pPr>
        <w:pStyle w:val="ListParagraph"/>
        <w:numPr>
          <w:ilvl w:val="1"/>
          <w:numId w:val="24"/>
        </w:numPr>
        <w:spacing w:after="0" w:line="240" w:lineRule="auto"/>
        <w:rPr>
          <w:rFonts w:cstheme="minorHAnsi"/>
        </w:rPr>
      </w:pPr>
      <w:r w:rsidRPr="000E545D">
        <w:rPr>
          <w:rFonts w:cstheme="minorHAnsi"/>
        </w:rPr>
        <w:t xml:space="preserve">In the autumn of 1348 the Black Death reached Britain from central Asia and by late spring the following year it had killed sixty per cent of London’s population. Scientists extracted the DNA of the bacterium, Yersinia </w:t>
      </w:r>
      <w:proofErr w:type="spellStart"/>
      <w:r w:rsidRPr="000E545D">
        <w:rPr>
          <w:rFonts w:cstheme="minorHAnsi"/>
        </w:rPr>
        <w:t>pestis</w:t>
      </w:r>
      <w:proofErr w:type="spellEnd"/>
      <w:r w:rsidRPr="000E545D">
        <w:rPr>
          <w:rFonts w:cstheme="minorHAnsi"/>
        </w:rPr>
        <w:t xml:space="preserve">, from teeth in skulls found during excavations and </w:t>
      </w:r>
      <w:r w:rsidRPr="000E545D">
        <w:rPr>
          <w:rFonts w:cstheme="minorHAnsi"/>
        </w:rPr>
        <w:lastRenderedPageBreak/>
        <w:t xml:space="preserve">compared the strain of </w:t>
      </w:r>
      <w:r w:rsidRPr="000E545D">
        <w:rPr>
          <w:rFonts w:cstheme="minorHAnsi"/>
          <w:b/>
        </w:rPr>
        <w:t>bubonic plague</w:t>
      </w:r>
      <w:r w:rsidRPr="000E545D">
        <w:rPr>
          <w:rFonts w:cstheme="minorHAnsi"/>
        </w:rPr>
        <w:t xml:space="preserve"> with the strain that recently killed 60 people in </w:t>
      </w:r>
      <w:hyperlink r:id="rId21" w:tooltip="More from the Guardian on Madagascar" w:history="1">
        <w:r w:rsidRPr="000E545D">
          <w:rPr>
            <w:rFonts w:cstheme="minorHAnsi"/>
          </w:rPr>
          <w:t>Madagascar</w:t>
        </w:r>
      </w:hyperlink>
      <w:r w:rsidRPr="000E545D">
        <w:rPr>
          <w:rFonts w:cstheme="minorHAnsi"/>
        </w:rPr>
        <w:t xml:space="preserve">. </w:t>
      </w:r>
      <w:proofErr w:type="spellStart"/>
      <w:r w:rsidRPr="000E545D">
        <w:rPr>
          <w:rFonts w:cstheme="minorHAnsi"/>
        </w:rPr>
        <w:t>Tthe</w:t>
      </w:r>
      <w:proofErr w:type="spellEnd"/>
      <w:r w:rsidRPr="000E545D">
        <w:rPr>
          <w:rFonts w:cstheme="minorHAnsi"/>
        </w:rPr>
        <w:t xml:space="preserve"> fourteenth century strain was no more virulent than the modern disease. The DNA codes were an almost </w:t>
      </w:r>
      <w:proofErr w:type="spellStart"/>
      <w:r w:rsidRPr="000E545D">
        <w:rPr>
          <w:rFonts w:cstheme="minorHAnsi"/>
        </w:rPr>
        <w:t>coinccident</w:t>
      </w:r>
      <w:proofErr w:type="spellEnd"/>
      <w:r w:rsidRPr="000E545D">
        <w:rPr>
          <w:rFonts w:cstheme="minorHAnsi"/>
        </w:rPr>
        <w:t xml:space="preserve">. Some scientists believe that for the plague to spread so fast it must have invaded the lungs of victims and was transmitted by coughs and sneezes, and was therefore a pneumonic plague as well as a bubonic plague. Infection was transmitted human to human, not just by the rat fleas that bit a sick person and transmitted the plague to the next victim. "As an explanation [rat fleas] for the Black Death in its own right, it simply isn't good enough. It cannot spread fast enough from one household to the next to cause the huge number of cases that we saw during the Black Death </w:t>
      </w:r>
      <w:hyperlink r:id="rId22" w:tooltip="More from the Guardian on Epidemics" w:history="1">
        <w:r w:rsidRPr="000E545D">
          <w:rPr>
            <w:rFonts w:cstheme="minorHAnsi"/>
          </w:rPr>
          <w:t>epidemics</w:t>
        </w:r>
      </w:hyperlink>
      <w:r w:rsidRPr="000E545D">
        <w:rPr>
          <w:rFonts w:cstheme="minorHAnsi"/>
        </w:rPr>
        <w:t xml:space="preserve">," said Dr Tim Brooks, who put his theory in a Channel 4 </w:t>
      </w:r>
      <w:hyperlink r:id="rId23" w:tooltip="More from the Guardian on Documentary" w:history="1">
        <w:r w:rsidRPr="000E545D">
          <w:rPr>
            <w:rFonts w:cstheme="minorHAnsi"/>
          </w:rPr>
          <w:t>documentary</w:t>
        </w:r>
      </w:hyperlink>
      <w:r w:rsidRPr="000E545D">
        <w:rPr>
          <w:rFonts w:cstheme="minorHAnsi"/>
        </w:rPr>
        <w:t>, Secret History: The Return of the Black Death. . Antibiotics can today prevent rodent flea-associated bubonic plague the disease from becoming pneumonic.</w:t>
      </w:r>
    </w:p>
    <w:p w:rsidR="005857D3" w:rsidRPr="000E545D" w:rsidRDefault="005857D3" w:rsidP="00303345">
      <w:pPr>
        <w:pStyle w:val="ListParagraph"/>
        <w:spacing w:line="240" w:lineRule="auto"/>
        <w:rPr>
          <w:rFonts w:cstheme="minorHAnsi"/>
          <w:color w:val="FF0000"/>
          <w:highlight w:val="yellow"/>
        </w:rPr>
      </w:pPr>
    </w:p>
    <w:sectPr w:rsidR="005857D3" w:rsidRPr="000E545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AC" w:rsidRDefault="005B7BAC" w:rsidP="000405AD">
      <w:pPr>
        <w:spacing w:after="0" w:line="240" w:lineRule="auto"/>
      </w:pPr>
      <w:r>
        <w:separator/>
      </w:r>
    </w:p>
  </w:endnote>
  <w:endnote w:type="continuationSeparator" w:id="0">
    <w:p w:rsidR="005B7BAC" w:rsidRDefault="005B7BAC"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5B7BAC" w:rsidRDefault="005B7BAC">
        <w:pPr>
          <w:pStyle w:val="Footer"/>
        </w:pPr>
        <w:r>
          <w:fldChar w:fldCharType="begin"/>
        </w:r>
        <w:r>
          <w:instrText xml:space="preserve"> PAGE   \* MERGEFORMAT </w:instrText>
        </w:r>
        <w:r>
          <w:fldChar w:fldCharType="separate"/>
        </w:r>
        <w:r w:rsidR="003A161B">
          <w:rPr>
            <w:noProof/>
          </w:rPr>
          <w:t>2</w:t>
        </w:r>
        <w:r>
          <w:rPr>
            <w:noProof/>
          </w:rPr>
          <w:fldChar w:fldCharType="end"/>
        </w:r>
      </w:p>
    </w:sdtContent>
  </w:sdt>
  <w:p w:rsidR="005B7BAC" w:rsidRDefault="005B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AC" w:rsidRDefault="005B7BAC" w:rsidP="000405AD">
      <w:pPr>
        <w:spacing w:after="0" w:line="240" w:lineRule="auto"/>
      </w:pPr>
      <w:r>
        <w:separator/>
      </w:r>
    </w:p>
  </w:footnote>
  <w:footnote w:type="continuationSeparator" w:id="0">
    <w:p w:rsidR="005B7BAC" w:rsidRDefault="005B7BAC" w:rsidP="000405AD">
      <w:pPr>
        <w:spacing w:after="0" w:line="240" w:lineRule="auto"/>
      </w:pPr>
      <w:r>
        <w:continuationSeparator/>
      </w:r>
    </w:p>
  </w:footnote>
  <w:footnote w:id="1">
    <w:p w:rsidR="005B7BAC" w:rsidRPr="000E545D" w:rsidRDefault="005B7BAC" w:rsidP="00C528DE">
      <w:pPr>
        <w:spacing w:after="15" w:line="240" w:lineRule="auto"/>
        <w:rPr>
          <w:rFonts w:cstheme="minorHAnsi"/>
          <w:sz w:val="20"/>
          <w:szCs w:val="20"/>
        </w:rPr>
      </w:pPr>
      <w:r w:rsidRPr="000E545D">
        <w:rPr>
          <w:rStyle w:val="FootnoteReference"/>
          <w:rFonts w:cstheme="minorHAnsi"/>
          <w:sz w:val="20"/>
          <w:szCs w:val="20"/>
        </w:rPr>
        <w:footnoteRef/>
      </w:r>
      <w:r w:rsidRPr="000E545D">
        <w:rPr>
          <w:rFonts w:cstheme="minorHAnsi"/>
          <w:sz w:val="20"/>
          <w:szCs w:val="20"/>
        </w:rPr>
        <w:t xml:space="preserve"> </w:t>
      </w:r>
      <w:r w:rsidRPr="000E545D">
        <w:rPr>
          <w:rFonts w:eastAsia="Times New Roman" w:cstheme="minorHAnsi"/>
          <w:color w:val="000000"/>
          <w:sz w:val="20"/>
          <w:szCs w:val="20"/>
          <w:lang w:eastAsia="en-AU"/>
        </w:rPr>
        <w:t>Cellular destruction of erythrocytes</w:t>
      </w:r>
    </w:p>
  </w:footnote>
  <w:footnote w:id="2">
    <w:p w:rsidR="005B7BAC" w:rsidRPr="000E545D" w:rsidRDefault="005B7BAC" w:rsidP="008F2E95">
      <w:pPr>
        <w:pStyle w:val="NormalWeb"/>
        <w:spacing w:before="0" w:beforeAutospacing="0" w:after="0" w:afterAutospacing="0"/>
        <w:rPr>
          <w:rFonts w:asciiTheme="minorHAnsi" w:hAnsiTheme="minorHAnsi" w:cstheme="minorHAnsi"/>
        </w:rPr>
      </w:pPr>
      <w:r w:rsidRPr="000E545D">
        <w:rPr>
          <w:rStyle w:val="FootnoteReference"/>
          <w:rFonts w:asciiTheme="minorHAnsi" w:hAnsiTheme="minorHAnsi" w:cstheme="minorHAnsi"/>
        </w:rPr>
        <w:footnoteRef/>
      </w:r>
      <w:r w:rsidRPr="000E545D">
        <w:rPr>
          <w:rFonts w:asciiTheme="minorHAnsi" w:hAnsiTheme="minorHAnsi" w:cstheme="minorHAnsi"/>
        </w:rPr>
        <w:t xml:space="preserve"> </w:t>
      </w:r>
      <w:r w:rsidRPr="000E545D">
        <w:rPr>
          <w:rFonts w:asciiTheme="minorHAnsi" w:hAnsiTheme="minorHAnsi" w:cstheme="minorHAnsi"/>
          <w:sz w:val="20"/>
          <w:szCs w:val="20"/>
        </w:rPr>
        <w:t>The Health Canada approval of Alprolix rested on results from the global, phase III B-LONG study. This showed that Alprolix safely and effectively prevented, or reduced, bleeding episodes with prophylactic injections given weekly or once every 10-14 days in adults and adolescents with severe haemophilia B. In acute treatment, more than 90 per cent of bleeding episodes were controlled by a single Alprolix injection</w:t>
      </w:r>
      <w:r w:rsidRPr="000E545D">
        <w:rPr>
          <w:rFonts w:asciiTheme="minorHAnsi" w:hAnsiTheme="minorHAnsi" w:cstheme="minorHAnsi"/>
          <w:color w:val="FF0000"/>
          <w:sz w:val="22"/>
          <w:szCs w:val="22"/>
        </w:rPr>
        <w:t xml:space="preserve">. </w:t>
      </w:r>
    </w:p>
  </w:footnote>
  <w:footnote w:id="3">
    <w:p w:rsidR="005B7BAC" w:rsidRPr="000E545D" w:rsidRDefault="005B7BAC" w:rsidP="008F2E95">
      <w:pPr>
        <w:pStyle w:val="FootnoteText"/>
        <w:rPr>
          <w:rFonts w:cstheme="minorHAnsi"/>
        </w:rPr>
      </w:pPr>
      <w:r w:rsidRPr="000E545D">
        <w:rPr>
          <w:rStyle w:val="FootnoteReference"/>
          <w:rFonts w:cstheme="minorHAnsi"/>
        </w:rPr>
        <w:footnoteRef/>
      </w:r>
      <w:r w:rsidRPr="000E545D">
        <w:rPr>
          <w:rFonts w:cstheme="minorHAnsi"/>
        </w:rPr>
        <w:t xml:space="preserve"> The HEA </w:t>
      </w:r>
      <w:proofErr w:type="spellStart"/>
      <w:r w:rsidRPr="000E545D">
        <w:rPr>
          <w:rFonts w:cstheme="minorHAnsi"/>
        </w:rPr>
        <w:t>BeadChip</w:t>
      </w:r>
      <w:proofErr w:type="spellEnd"/>
      <w:r w:rsidRPr="000E545D">
        <w:rPr>
          <w:rFonts w:cstheme="minorHAnsi"/>
        </w:rPr>
        <w:t xml:space="preserve"> product is an in vitro diagnostic test and is </w:t>
      </w:r>
      <w:proofErr w:type="spellStart"/>
      <w:r w:rsidRPr="000E545D">
        <w:rPr>
          <w:rFonts w:cstheme="minorHAnsi"/>
        </w:rPr>
        <w:t>Immucor's</w:t>
      </w:r>
      <w:proofErr w:type="spellEnd"/>
      <w:r w:rsidRPr="000E545D">
        <w:rPr>
          <w:rFonts w:cstheme="minorHAnsi"/>
        </w:rPr>
        <w:t xml:space="preserve"> core molecular test for extended typing of red blood cell antigens from a DNA sample. The product is designed to predict the phenotypes of the Rh (</w:t>
      </w:r>
      <w:proofErr w:type="spellStart"/>
      <w:r w:rsidRPr="000E545D">
        <w:rPr>
          <w:rFonts w:cstheme="minorHAnsi"/>
        </w:rPr>
        <w:t>C</w:t>
      </w:r>
      <w:proofErr w:type="gramStart"/>
      <w:r w:rsidRPr="000E545D">
        <w:rPr>
          <w:rFonts w:cstheme="minorHAnsi"/>
        </w:rPr>
        <w:t>,c,E,e</w:t>
      </w:r>
      <w:proofErr w:type="spellEnd"/>
      <w:proofErr w:type="gramEnd"/>
      <w:r w:rsidRPr="000E545D">
        <w:rPr>
          <w:rFonts w:cstheme="minorHAnsi"/>
        </w:rPr>
        <w:t xml:space="preserve">), </w:t>
      </w:r>
      <w:proofErr w:type="spellStart"/>
      <w:r w:rsidRPr="000E545D">
        <w:rPr>
          <w:rFonts w:cstheme="minorHAnsi"/>
        </w:rPr>
        <w:t>Kell</w:t>
      </w:r>
      <w:proofErr w:type="spellEnd"/>
      <w:r w:rsidRPr="000E545D">
        <w:rPr>
          <w:rFonts w:cstheme="minorHAnsi"/>
        </w:rPr>
        <w:t xml:space="preserve"> (K, k, </w:t>
      </w:r>
      <w:proofErr w:type="spellStart"/>
      <w:r w:rsidRPr="000E545D">
        <w:rPr>
          <w:rFonts w:cstheme="minorHAnsi"/>
        </w:rPr>
        <w:t>Kpa</w:t>
      </w:r>
      <w:proofErr w:type="spellEnd"/>
      <w:r w:rsidRPr="000E545D">
        <w:rPr>
          <w:rFonts w:cstheme="minorHAnsi"/>
        </w:rPr>
        <w:t xml:space="preserve">, </w:t>
      </w:r>
      <w:proofErr w:type="spellStart"/>
      <w:r w:rsidRPr="000E545D">
        <w:rPr>
          <w:rFonts w:cstheme="minorHAnsi"/>
        </w:rPr>
        <w:t>Kpb</w:t>
      </w:r>
      <w:proofErr w:type="spellEnd"/>
      <w:r w:rsidRPr="000E545D">
        <w:rPr>
          <w:rFonts w:cstheme="minorHAnsi"/>
        </w:rPr>
        <w:t xml:space="preserve">, </w:t>
      </w:r>
      <w:proofErr w:type="spellStart"/>
      <w:r w:rsidRPr="000E545D">
        <w:rPr>
          <w:rFonts w:cstheme="minorHAnsi"/>
        </w:rPr>
        <w:t>Jsa</w:t>
      </w:r>
      <w:proofErr w:type="spellEnd"/>
      <w:r w:rsidRPr="000E545D">
        <w:rPr>
          <w:rFonts w:cstheme="minorHAnsi"/>
        </w:rPr>
        <w:t xml:space="preserve">, </w:t>
      </w:r>
      <w:proofErr w:type="spellStart"/>
      <w:r w:rsidRPr="000E545D">
        <w:rPr>
          <w:rFonts w:cstheme="minorHAnsi"/>
        </w:rPr>
        <w:t>Jsb</w:t>
      </w:r>
      <w:proofErr w:type="spellEnd"/>
      <w:r w:rsidRPr="000E545D">
        <w:rPr>
          <w:rFonts w:cstheme="minorHAnsi"/>
        </w:rPr>
        <w:t xml:space="preserve">), Duffy, Kidd, MNS, Lutheran, </w:t>
      </w:r>
      <w:proofErr w:type="spellStart"/>
      <w:r w:rsidRPr="000E545D">
        <w:rPr>
          <w:rFonts w:cstheme="minorHAnsi"/>
        </w:rPr>
        <w:t>Dombrock</w:t>
      </w:r>
      <w:proofErr w:type="spellEnd"/>
      <w:r w:rsidRPr="000E545D">
        <w:rPr>
          <w:rFonts w:cstheme="minorHAnsi"/>
        </w:rPr>
        <w:t xml:space="preserve"> (</w:t>
      </w:r>
      <w:proofErr w:type="spellStart"/>
      <w:r w:rsidRPr="000E545D">
        <w:rPr>
          <w:rFonts w:cstheme="minorHAnsi"/>
        </w:rPr>
        <w:t>Doa</w:t>
      </w:r>
      <w:proofErr w:type="spellEnd"/>
      <w:r w:rsidRPr="000E545D">
        <w:rPr>
          <w:rFonts w:cstheme="minorHAnsi"/>
        </w:rPr>
        <w:t xml:space="preserve">, Dob, </w:t>
      </w:r>
      <w:proofErr w:type="spellStart"/>
      <w:r w:rsidRPr="000E545D">
        <w:rPr>
          <w:rFonts w:cstheme="minorHAnsi"/>
        </w:rPr>
        <w:t>Hy</w:t>
      </w:r>
      <w:proofErr w:type="spellEnd"/>
      <w:r w:rsidRPr="000E545D">
        <w:rPr>
          <w:rFonts w:cstheme="minorHAnsi"/>
        </w:rPr>
        <w:t xml:space="preserve">, Jo), Landsteiner-Wiener, Diego, Colton, and </w:t>
      </w:r>
      <w:proofErr w:type="spellStart"/>
      <w:r w:rsidRPr="000E545D">
        <w:rPr>
          <w:rFonts w:cstheme="minorHAnsi"/>
        </w:rPr>
        <w:t>Scianna</w:t>
      </w:r>
      <w:proofErr w:type="spellEnd"/>
      <w:r w:rsidRPr="000E545D">
        <w:rPr>
          <w:rFonts w:cstheme="minorHAnsi"/>
        </w:rPr>
        <w:t xml:space="preserve"> blood group systems. The test is also designed to detect a mutation (</w:t>
      </w:r>
      <w:proofErr w:type="spellStart"/>
      <w:r w:rsidRPr="000E545D">
        <w:rPr>
          <w:rFonts w:cstheme="minorHAnsi"/>
        </w:rPr>
        <w:t>HgbS</w:t>
      </w:r>
      <w:proofErr w:type="spellEnd"/>
      <w:r w:rsidRPr="000E545D">
        <w:rPr>
          <w:rFonts w:cstheme="minorHAnsi"/>
        </w:rPr>
        <w:t xml:space="preserve"> 173 A &gt; T) in the Beta Globin gene.</w:t>
      </w:r>
    </w:p>
  </w:footnote>
  <w:footnote w:id="4">
    <w:p w:rsidR="005B7BAC" w:rsidRPr="000E545D" w:rsidRDefault="005B7BAC" w:rsidP="00D725FC">
      <w:pPr>
        <w:spacing w:after="0" w:line="240" w:lineRule="auto"/>
        <w:rPr>
          <w:rFonts w:cstheme="minorHAnsi"/>
        </w:rPr>
      </w:pPr>
      <w:r w:rsidRPr="000E545D">
        <w:rPr>
          <w:rStyle w:val="FootnoteReference"/>
          <w:rFonts w:cstheme="minorHAnsi"/>
        </w:rPr>
        <w:footnoteRef/>
      </w:r>
      <w:r w:rsidRPr="000E545D">
        <w:rPr>
          <w:rFonts w:cstheme="minorHAnsi"/>
        </w:rPr>
        <w:t xml:space="preserve"> </w:t>
      </w:r>
      <w:proofErr w:type="spellStart"/>
      <w:proofErr w:type="gramStart"/>
      <w:r w:rsidRPr="000E545D">
        <w:rPr>
          <w:rFonts w:cstheme="minorHAnsi"/>
          <w:sz w:val="20"/>
          <w:szCs w:val="20"/>
        </w:rPr>
        <w:t>eg</w:t>
      </w:r>
      <w:proofErr w:type="spellEnd"/>
      <w:proofErr w:type="gramEnd"/>
      <w:r w:rsidRPr="000E545D">
        <w:rPr>
          <w:rFonts w:cstheme="minorHAnsi"/>
          <w:sz w:val="20"/>
          <w:szCs w:val="20"/>
        </w:rPr>
        <w:t xml:space="preserve"> when US competition regulators knocked back CSL’s $US3.1 billion bid for </w:t>
      </w:r>
      <w:proofErr w:type="spellStart"/>
      <w:r w:rsidRPr="000E545D">
        <w:rPr>
          <w:rFonts w:cstheme="minorHAnsi"/>
          <w:sz w:val="20"/>
          <w:szCs w:val="20"/>
        </w:rPr>
        <w:t>Talecris</w:t>
      </w:r>
      <w:proofErr w:type="spellEnd"/>
      <w:r w:rsidRPr="000E545D">
        <w:rPr>
          <w:rFonts w:cstheme="minorHAnsi"/>
          <w:sz w:val="20"/>
          <w:szCs w:val="20"/>
        </w:rPr>
        <w:t xml:space="preserve"> </w:t>
      </w:r>
      <w:proofErr w:type="spellStart"/>
      <w:r w:rsidRPr="000E545D">
        <w:rPr>
          <w:rFonts w:cstheme="minorHAnsi"/>
          <w:sz w:val="20"/>
          <w:szCs w:val="20"/>
        </w:rPr>
        <w:t>Biotherapeutics</w:t>
      </w:r>
      <w:proofErr w:type="spellEnd"/>
      <w:r w:rsidRPr="000E545D">
        <w:rPr>
          <w:rFonts w:cstheme="minorHAnsi"/>
          <w:sz w:val="20"/>
          <w:szCs w:val="20"/>
        </w:rPr>
        <w:t>, the company handed much of the cash back to shareholders through share buybacks.</w:t>
      </w:r>
    </w:p>
  </w:footnote>
  <w:footnote w:id="5">
    <w:p w:rsidR="005B7BAC" w:rsidRPr="000E545D" w:rsidRDefault="005B7BAC" w:rsidP="000B0BC7">
      <w:pPr>
        <w:pStyle w:val="NormalWeb"/>
        <w:spacing w:before="0" w:beforeAutospacing="0" w:after="0" w:afterAutospacing="0"/>
        <w:rPr>
          <w:rFonts w:asciiTheme="minorHAnsi" w:hAnsiTheme="minorHAnsi" w:cstheme="minorHAnsi"/>
        </w:rPr>
      </w:pPr>
      <w:r w:rsidRPr="000E545D">
        <w:rPr>
          <w:rStyle w:val="FootnoteReference"/>
          <w:rFonts w:asciiTheme="minorHAnsi" w:hAnsiTheme="minorHAnsi" w:cstheme="minorHAnsi"/>
        </w:rPr>
        <w:footnoteRef/>
      </w:r>
      <w:r w:rsidRPr="000E545D">
        <w:rPr>
          <w:rFonts w:asciiTheme="minorHAnsi" w:hAnsiTheme="minorHAnsi" w:cstheme="minorHAnsi"/>
        </w:rPr>
        <w:t xml:space="preserve"> </w:t>
      </w:r>
      <w:r w:rsidRPr="000E545D">
        <w:rPr>
          <w:rFonts w:asciiTheme="minorHAnsi" w:hAnsiTheme="minorHAnsi" w:cstheme="minorHAnsi"/>
          <w:sz w:val="20"/>
          <w:szCs w:val="20"/>
        </w:rPr>
        <w:t xml:space="preserve">“We believe pathogen inactivation for whole blood has the potential to improve the safety of transfusions in sub-Saharan Africa where diminished blood availability due to severe anaemia from malaria HIV and obstetric bleeding is common” said </w:t>
      </w:r>
      <w:proofErr w:type="spellStart"/>
      <w:r w:rsidRPr="000E545D">
        <w:rPr>
          <w:rFonts w:asciiTheme="minorHAnsi" w:hAnsiTheme="minorHAnsi" w:cstheme="minorHAnsi"/>
          <w:sz w:val="20"/>
          <w:szCs w:val="20"/>
        </w:rPr>
        <w:t>Dr.</w:t>
      </w:r>
      <w:proofErr w:type="spellEnd"/>
      <w:r w:rsidRPr="000E545D">
        <w:rPr>
          <w:rFonts w:asciiTheme="minorHAnsi" w:hAnsiTheme="minorHAnsi" w:cstheme="minorHAnsi"/>
          <w:sz w:val="20"/>
          <w:szCs w:val="20"/>
        </w:rPr>
        <w:t xml:space="preserve"> Rudolf </w:t>
      </w:r>
      <w:proofErr w:type="spellStart"/>
      <w:r w:rsidRPr="000E545D">
        <w:rPr>
          <w:rFonts w:asciiTheme="minorHAnsi" w:hAnsiTheme="minorHAnsi" w:cstheme="minorHAnsi"/>
          <w:sz w:val="20"/>
          <w:szCs w:val="20"/>
        </w:rPr>
        <w:t>Schwabe</w:t>
      </w:r>
      <w:proofErr w:type="spellEnd"/>
      <w:r w:rsidRPr="000E545D">
        <w:rPr>
          <w:rFonts w:asciiTheme="minorHAnsi" w:hAnsiTheme="minorHAnsi" w:cstheme="minorHAnsi"/>
          <w:sz w:val="20"/>
          <w:szCs w:val="20"/>
        </w:rPr>
        <w:t xml:space="preserve"> chief executive officer of the Swiss Red Cross. “Based on our experience over the past three years with the INTERCEPT System we have seen first-hand the substantial impact that pathogen inactivation has had in reducing transfusion transmitted infectious risk in platelets and plasma; this technology should be made available to developing countries such as those in sub-Saharan Africa where the risk of bacterial contamination is about 2500 times greater than in Switzerland and ten to fifteen percent of HIV infections are caused by contaminated transfusions.”</w:t>
      </w:r>
    </w:p>
  </w:footnote>
  <w:footnote w:id="6">
    <w:p w:rsidR="005B7BAC" w:rsidRPr="000E545D" w:rsidRDefault="005B7BAC" w:rsidP="00DD6521">
      <w:pPr>
        <w:spacing w:after="0" w:line="240" w:lineRule="auto"/>
        <w:rPr>
          <w:rFonts w:cstheme="minorHAnsi"/>
        </w:rPr>
      </w:pPr>
      <w:r w:rsidRPr="000E545D">
        <w:rPr>
          <w:rStyle w:val="FootnoteReference"/>
          <w:rFonts w:cstheme="minorHAnsi"/>
          <w:sz w:val="20"/>
          <w:szCs w:val="20"/>
        </w:rPr>
        <w:footnoteRef/>
      </w:r>
      <w:r w:rsidRPr="000E545D">
        <w:rPr>
          <w:rFonts w:cstheme="minorHAnsi"/>
          <w:sz w:val="20"/>
          <w:szCs w:val="20"/>
        </w:rPr>
        <w:t xml:space="preserve"> </w:t>
      </w:r>
      <w:proofErr w:type="spellStart"/>
      <w:r w:rsidRPr="000E545D">
        <w:rPr>
          <w:rFonts w:cstheme="minorHAnsi"/>
          <w:sz w:val="20"/>
          <w:szCs w:val="20"/>
        </w:rPr>
        <w:t>Fouchier’s</w:t>
      </w:r>
      <w:proofErr w:type="spellEnd"/>
      <w:r w:rsidRPr="000E545D">
        <w:rPr>
          <w:rFonts w:cstheme="minorHAnsi"/>
          <w:sz w:val="20"/>
          <w:szCs w:val="20"/>
        </w:rPr>
        <w:t xml:space="preserve"> research was undertaken at Erasmus Medical Centre, Rotterdam. His team modified the H5N1 virus to spread through the air between mammals, by enabling the agent to bind more readily to their cell receptors. The research had funding support from the US. There was also similar work in Wisconsin, to understand how H5N1 could evolve to be a greater threat to humans. The US </w:t>
      </w:r>
      <w:r w:rsidRPr="000E545D">
        <w:rPr>
          <w:rFonts w:cstheme="minorHAnsi"/>
          <w:sz w:val="20"/>
          <w:szCs w:val="20"/>
          <w:lang w:val="en"/>
        </w:rPr>
        <w:t>National Science Advisory Board for Biosecurity (NSABB) put both studies under the spotlight</w:t>
      </w:r>
      <w:r w:rsidRPr="000E545D">
        <w:rPr>
          <w:rFonts w:cstheme="minorHAnsi"/>
          <w:sz w:val="20"/>
          <w:szCs w:val="20"/>
        </w:rPr>
        <w:t xml:space="preserve"> in 2011, suggesting publication of the studies would allow bioterrorists to initiate a lethal pandemic. Debate continues over regulation of future "gain-of-function" pathogen research. Since gain-of-function studies cultivate pathogens with attributes that do not yet exist in nature, would-be </w:t>
      </w:r>
      <w:proofErr w:type="gramStart"/>
      <w:r w:rsidRPr="000E545D">
        <w:rPr>
          <w:rFonts w:cstheme="minorHAnsi"/>
          <w:sz w:val="20"/>
          <w:szCs w:val="20"/>
        </w:rPr>
        <w:t>researchers</w:t>
      </w:r>
      <w:proofErr w:type="gramEnd"/>
      <w:r w:rsidRPr="000E545D">
        <w:rPr>
          <w:rFonts w:cstheme="minorHAnsi"/>
          <w:sz w:val="20"/>
          <w:szCs w:val="20"/>
        </w:rPr>
        <w:t xml:space="preserve"> claim they are necessary to prepare for future forms of disease. The </w:t>
      </w:r>
      <w:proofErr w:type="spellStart"/>
      <w:r w:rsidRPr="000E545D">
        <w:rPr>
          <w:rFonts w:cstheme="minorHAnsi"/>
          <w:sz w:val="20"/>
          <w:szCs w:val="20"/>
        </w:rPr>
        <w:t>Fouchier</w:t>
      </w:r>
      <w:proofErr w:type="spellEnd"/>
      <w:r w:rsidRPr="000E545D">
        <w:rPr>
          <w:rFonts w:cstheme="minorHAnsi"/>
          <w:sz w:val="20"/>
          <w:szCs w:val="20"/>
        </w:rPr>
        <w:t xml:space="preserve"> research controversy has engaged the Dutch legal system. He challenged the Dutch government's right to license sensitive data before it can be internationally transmitted. He lost his bid in September, but appealed to a </w:t>
      </w:r>
      <w:proofErr w:type="spellStart"/>
      <w:r w:rsidRPr="000E545D">
        <w:rPr>
          <w:rFonts w:cstheme="minorHAnsi"/>
          <w:sz w:val="20"/>
          <w:szCs w:val="20"/>
        </w:rPr>
        <w:t>hugher</w:t>
      </w:r>
      <w:proofErr w:type="spellEnd"/>
      <w:r w:rsidRPr="000E545D">
        <w:rPr>
          <w:rFonts w:cstheme="minorHAnsi"/>
          <w:sz w:val="20"/>
          <w:szCs w:val="20"/>
        </w:rPr>
        <w:t xml:space="preserve"> court in November. Last August, he and some other virologists called for future gain-of-function studies to focus on avian flu H7N9. Meanwhile, Chinse scientists said they had already conducted “gain of function” studies on it.</w:t>
      </w:r>
    </w:p>
  </w:footnote>
  <w:footnote w:id="7">
    <w:p w:rsidR="005B7BAC" w:rsidRPr="000E545D" w:rsidRDefault="005B7BAC">
      <w:pPr>
        <w:pStyle w:val="FootnoteText"/>
        <w:rPr>
          <w:rFonts w:cstheme="minorHAnsi"/>
        </w:rPr>
      </w:pPr>
      <w:r w:rsidRPr="000E545D">
        <w:rPr>
          <w:rStyle w:val="FootnoteReference"/>
          <w:rFonts w:cstheme="minorHAnsi"/>
        </w:rPr>
        <w:footnoteRef/>
      </w:r>
      <w:r w:rsidRPr="000E545D">
        <w:rPr>
          <w:rFonts w:cstheme="minorHAnsi"/>
        </w:rPr>
        <w:t xml:space="preserve"> published in </w:t>
      </w:r>
      <w:r w:rsidRPr="000E545D">
        <w:rPr>
          <w:rFonts w:cstheme="minorHAnsi"/>
          <w:i/>
          <w:iCs/>
        </w:rPr>
        <w:t>The American Journal of Cardiology</w:t>
      </w:r>
    </w:p>
  </w:footnote>
  <w:footnote w:id="8">
    <w:p w:rsidR="005B7BAC" w:rsidRPr="000E545D" w:rsidRDefault="005B7BAC" w:rsidP="000B0BC7">
      <w:pPr>
        <w:shd w:val="clear" w:color="auto" w:fill="FFFFFF"/>
        <w:spacing w:after="0"/>
        <w:outlineLvl w:val="3"/>
        <w:rPr>
          <w:rFonts w:cstheme="minorHAnsi"/>
        </w:rPr>
      </w:pPr>
      <w:r w:rsidRPr="000E545D">
        <w:rPr>
          <w:rStyle w:val="FootnoteReference"/>
          <w:rFonts w:cstheme="minorHAnsi"/>
        </w:rPr>
        <w:footnoteRef/>
      </w:r>
      <w:r w:rsidRPr="000E545D">
        <w:rPr>
          <w:rFonts w:cstheme="minorHAnsi"/>
        </w:rPr>
        <w:t xml:space="preserve"> </w:t>
      </w:r>
      <w:hyperlink r:id="rId1" w:tgtFrame="_blank" w:history="1">
        <w:r w:rsidRPr="000E545D">
          <w:rPr>
            <w:rFonts w:cstheme="minorHAnsi"/>
            <w:sz w:val="20"/>
            <w:szCs w:val="20"/>
          </w:rPr>
          <w:t>Xian Y.</w:t>
        </w:r>
        <w:proofErr w:type="gramStart"/>
        <w:r w:rsidRPr="000E545D">
          <w:rPr>
            <w:rFonts w:cstheme="minorHAnsi"/>
            <w:sz w:val="20"/>
            <w:szCs w:val="20"/>
          </w:rPr>
          <w:t>,</w:t>
        </w:r>
        <w:proofErr w:type="spellStart"/>
        <w:r w:rsidRPr="000E545D">
          <w:rPr>
            <w:rStyle w:val="Emphasis"/>
            <w:rFonts w:cstheme="minorHAnsi"/>
            <w:sz w:val="20"/>
            <w:szCs w:val="20"/>
          </w:rPr>
          <w:t>Circ</w:t>
        </w:r>
        <w:proofErr w:type="spellEnd"/>
        <w:proofErr w:type="gramEnd"/>
        <w:r w:rsidRPr="000E545D">
          <w:rPr>
            <w:rStyle w:val="Emphasis"/>
            <w:rFonts w:cstheme="minorHAnsi"/>
            <w:sz w:val="20"/>
            <w:szCs w:val="20"/>
          </w:rPr>
          <w:t xml:space="preserve"> </w:t>
        </w:r>
        <w:proofErr w:type="spellStart"/>
        <w:r w:rsidRPr="000E545D">
          <w:rPr>
            <w:rStyle w:val="Emphasis"/>
            <w:rFonts w:cstheme="minorHAnsi"/>
            <w:sz w:val="20"/>
            <w:szCs w:val="20"/>
          </w:rPr>
          <w:t>Cardiovasc</w:t>
        </w:r>
        <w:proofErr w:type="spellEnd"/>
        <w:r w:rsidRPr="000E545D">
          <w:rPr>
            <w:rStyle w:val="Emphasis"/>
            <w:rFonts w:cstheme="minorHAnsi"/>
            <w:sz w:val="20"/>
            <w:szCs w:val="20"/>
          </w:rPr>
          <w:t xml:space="preserve"> Qual Outcomes. </w:t>
        </w:r>
        <w:r w:rsidRPr="000E545D">
          <w:rPr>
            <w:rFonts w:cstheme="minorHAnsi"/>
            <w:sz w:val="20"/>
            <w:szCs w:val="20"/>
          </w:rPr>
          <w:t>2014;doi:10.1161/CIRCOUTCOMES.113.000715.</w:t>
        </w:r>
      </w:hyperlink>
    </w:p>
  </w:footnote>
  <w:footnote w:id="9">
    <w:p w:rsidR="005B7BAC" w:rsidRPr="000E545D" w:rsidRDefault="005B7BAC" w:rsidP="000B0BC7">
      <w:pPr>
        <w:pStyle w:val="NormalWeb"/>
        <w:spacing w:before="0" w:beforeAutospacing="0" w:after="0" w:afterAutospacing="0"/>
        <w:rPr>
          <w:rFonts w:asciiTheme="minorHAnsi" w:hAnsiTheme="minorHAnsi" w:cstheme="minorHAnsi"/>
        </w:rPr>
      </w:pPr>
      <w:r w:rsidRPr="000E545D">
        <w:rPr>
          <w:rStyle w:val="FootnoteReference"/>
          <w:rFonts w:asciiTheme="minorHAnsi" w:hAnsiTheme="minorHAnsi" w:cstheme="minorHAnsi"/>
        </w:rPr>
        <w:footnoteRef/>
      </w:r>
      <w:r w:rsidRPr="000E545D">
        <w:rPr>
          <w:rFonts w:asciiTheme="minorHAnsi" w:hAnsiTheme="minorHAnsi" w:cstheme="minorHAnsi"/>
        </w:rPr>
        <w:t xml:space="preserve"> </w:t>
      </w:r>
      <w:hyperlink r:id="rId2" w:history="1">
        <w:r w:rsidRPr="000E545D">
          <w:rPr>
            <w:rStyle w:val="Hyperlink"/>
            <w:rFonts w:asciiTheme="minorHAnsi" w:hAnsiTheme="minorHAnsi" w:cstheme="minorHAnsi"/>
            <w:color w:val="auto"/>
            <w:sz w:val="20"/>
            <w:szCs w:val="20"/>
            <w:u w:val="none"/>
            <w:lang w:val="en"/>
          </w:rPr>
          <w:t>Myocardial infarctions</w:t>
        </w:r>
      </w:hyperlink>
      <w:r w:rsidRPr="000E545D">
        <w:rPr>
          <w:rFonts w:asciiTheme="minorHAnsi" w:hAnsiTheme="minorHAnsi" w:cstheme="minorHAnsi"/>
          <w:sz w:val="20"/>
          <w:szCs w:val="20"/>
          <w:lang w:val="en"/>
        </w:rPr>
        <w:t xml:space="preserve"> (heart attacks) occur when a </w:t>
      </w:r>
      <w:hyperlink r:id="rId3" w:history="1">
        <w:r w:rsidRPr="000E545D">
          <w:rPr>
            <w:rStyle w:val="Hyperlink"/>
            <w:rFonts w:asciiTheme="minorHAnsi" w:hAnsiTheme="minorHAnsi" w:cstheme="minorHAnsi"/>
            <w:color w:val="auto"/>
            <w:sz w:val="20"/>
            <w:szCs w:val="20"/>
            <w:u w:val="none"/>
            <w:lang w:val="en"/>
          </w:rPr>
          <w:t>coronary artery</w:t>
        </w:r>
      </w:hyperlink>
      <w:r w:rsidRPr="000E545D">
        <w:rPr>
          <w:rFonts w:asciiTheme="minorHAnsi" w:hAnsiTheme="minorHAnsi" w:cstheme="minorHAnsi"/>
          <w:sz w:val="20"/>
          <w:szCs w:val="20"/>
          <w:lang w:val="en"/>
        </w:rPr>
        <w:t xml:space="preserve"> suddenly becomes occluded by a blood clot, causing at least some of the heart muscle being supplied by that artery to die.  Myocardial infarctions are of two types, with a NSTEMI being the less severe type. In a NSTEMI, the blood clot only partly occludes the artery, so only part of the heart muscle being supplied by the affected artery dies.</w:t>
      </w:r>
    </w:p>
  </w:footnote>
  <w:footnote w:id="10">
    <w:p w:rsidR="005B7BAC" w:rsidRPr="000E545D" w:rsidRDefault="005B7BAC">
      <w:pPr>
        <w:pStyle w:val="FootnoteText"/>
        <w:rPr>
          <w:rFonts w:cstheme="minorHAnsi"/>
        </w:rPr>
      </w:pPr>
      <w:r w:rsidRPr="000E545D">
        <w:rPr>
          <w:rStyle w:val="FootnoteReference"/>
          <w:rFonts w:cstheme="minorHAnsi"/>
        </w:rPr>
        <w:footnoteRef/>
      </w:r>
      <w:r w:rsidRPr="000E545D">
        <w:rPr>
          <w:rFonts w:cstheme="minorHAnsi"/>
        </w:rPr>
        <w:t xml:space="preserve"> Quebec had already banned the practice.</w:t>
      </w:r>
    </w:p>
  </w:footnote>
  <w:footnote w:id="11">
    <w:p w:rsidR="005B7BAC" w:rsidRPr="000E545D" w:rsidRDefault="005B7BAC" w:rsidP="00431822">
      <w:pPr>
        <w:pStyle w:val="NormalWeb"/>
        <w:spacing w:before="0" w:beforeAutospacing="0" w:after="0" w:afterAutospacing="0"/>
        <w:rPr>
          <w:rFonts w:asciiTheme="minorHAnsi" w:hAnsiTheme="minorHAnsi" w:cstheme="minorHAnsi"/>
          <w:sz w:val="20"/>
          <w:szCs w:val="20"/>
        </w:rPr>
      </w:pPr>
      <w:r w:rsidRPr="000E545D">
        <w:rPr>
          <w:rStyle w:val="FootnoteReference"/>
          <w:rFonts w:asciiTheme="minorHAnsi" w:hAnsiTheme="minorHAnsi" w:cstheme="minorHAnsi"/>
          <w:sz w:val="20"/>
          <w:szCs w:val="20"/>
        </w:rPr>
        <w:footnoteRef/>
      </w:r>
      <w:r w:rsidRPr="000E545D">
        <w:rPr>
          <w:rFonts w:asciiTheme="minorHAnsi" w:hAnsiTheme="minorHAnsi" w:cstheme="minorHAnsi"/>
          <w:sz w:val="20"/>
          <w:szCs w:val="20"/>
        </w:rPr>
        <w:t xml:space="preserve"> </w:t>
      </w:r>
      <w:r w:rsidRPr="000E545D">
        <w:rPr>
          <w:rFonts w:asciiTheme="minorHAnsi" w:hAnsiTheme="minorHAnsi" w:cstheme="minorHAnsi"/>
          <w:sz w:val="20"/>
          <w:szCs w:val="20"/>
          <w:lang w:val="en"/>
        </w:rPr>
        <w:t xml:space="preserve">Veale, M. F., Healey, G. and Sparrow, R. L. (2014),”Longer storage of red blood cells is associated with increased </w:t>
      </w:r>
      <w:r w:rsidRPr="000E545D">
        <w:rPr>
          <w:rStyle w:val="Emphasis"/>
          <w:rFonts w:asciiTheme="minorHAnsi" w:hAnsiTheme="minorHAnsi" w:cstheme="minorHAnsi"/>
          <w:sz w:val="20"/>
          <w:szCs w:val="20"/>
          <w:lang w:val="en"/>
        </w:rPr>
        <w:t>in vitro</w:t>
      </w:r>
      <w:r w:rsidRPr="000E545D">
        <w:rPr>
          <w:rFonts w:asciiTheme="minorHAnsi" w:hAnsiTheme="minorHAnsi" w:cstheme="minorHAnsi"/>
          <w:sz w:val="20"/>
          <w:szCs w:val="20"/>
          <w:lang w:val="en"/>
        </w:rPr>
        <w:t xml:space="preserve"> </w:t>
      </w:r>
      <w:proofErr w:type="spellStart"/>
      <w:r w:rsidRPr="000E545D">
        <w:rPr>
          <w:rFonts w:asciiTheme="minorHAnsi" w:hAnsiTheme="minorHAnsi" w:cstheme="minorHAnsi"/>
          <w:sz w:val="20"/>
          <w:szCs w:val="20"/>
          <w:lang w:val="en"/>
        </w:rPr>
        <w:t>erythrophagocytosis</w:t>
      </w:r>
      <w:proofErr w:type="spellEnd"/>
      <w:r w:rsidRPr="000E545D">
        <w:rPr>
          <w:rFonts w:asciiTheme="minorHAnsi" w:hAnsiTheme="minorHAnsi" w:cstheme="minorHAnsi"/>
          <w:sz w:val="20"/>
          <w:szCs w:val="20"/>
          <w:lang w:val="en"/>
        </w:rPr>
        <w:t xml:space="preserve">”. </w:t>
      </w:r>
      <w:proofErr w:type="spellStart"/>
      <w:r w:rsidRPr="000E545D">
        <w:rPr>
          <w:rFonts w:asciiTheme="minorHAnsi" w:hAnsiTheme="minorHAnsi" w:cstheme="minorHAnsi"/>
          <w:i/>
          <w:sz w:val="20"/>
          <w:szCs w:val="20"/>
          <w:lang w:val="en"/>
        </w:rPr>
        <w:t>Vox</w:t>
      </w:r>
      <w:proofErr w:type="spellEnd"/>
      <w:r w:rsidRPr="000E545D">
        <w:rPr>
          <w:rFonts w:asciiTheme="minorHAnsi" w:hAnsiTheme="minorHAnsi" w:cstheme="minorHAnsi"/>
          <w:i/>
          <w:sz w:val="20"/>
          <w:szCs w:val="20"/>
          <w:lang w:val="en"/>
        </w:rPr>
        <w:t xml:space="preserve"> </w:t>
      </w:r>
      <w:proofErr w:type="spellStart"/>
      <w:r w:rsidRPr="000E545D">
        <w:rPr>
          <w:rFonts w:asciiTheme="minorHAnsi" w:hAnsiTheme="minorHAnsi" w:cstheme="minorHAnsi"/>
          <w:i/>
          <w:sz w:val="20"/>
          <w:szCs w:val="20"/>
          <w:lang w:val="en"/>
        </w:rPr>
        <w:t>Sanguinis</w:t>
      </w:r>
      <w:proofErr w:type="spellEnd"/>
      <w:r w:rsidRPr="000E545D">
        <w:rPr>
          <w:rFonts w:asciiTheme="minorHAnsi" w:hAnsiTheme="minorHAnsi" w:cstheme="minorHAnsi"/>
          <w:sz w:val="20"/>
          <w:szCs w:val="20"/>
          <w:lang w:val="en"/>
        </w:rPr>
        <w:t xml:space="preserve">, 106: 219–226. </w:t>
      </w:r>
      <w:proofErr w:type="spellStart"/>
      <w:r w:rsidRPr="000E545D">
        <w:rPr>
          <w:rFonts w:asciiTheme="minorHAnsi" w:hAnsiTheme="minorHAnsi" w:cstheme="minorHAnsi"/>
          <w:sz w:val="20"/>
          <w:szCs w:val="20"/>
          <w:lang w:val="en"/>
        </w:rPr>
        <w:t>doi</w:t>
      </w:r>
      <w:proofErr w:type="spellEnd"/>
      <w:r w:rsidRPr="000E545D">
        <w:rPr>
          <w:rFonts w:asciiTheme="minorHAnsi" w:hAnsiTheme="minorHAnsi" w:cstheme="minorHAnsi"/>
          <w:sz w:val="20"/>
          <w:szCs w:val="20"/>
          <w:lang w:val="en"/>
        </w:rPr>
        <w:t>: 10.1111/vox.12095</w:t>
      </w:r>
    </w:p>
  </w:footnote>
  <w:footnote w:id="12">
    <w:p w:rsidR="005B7BAC" w:rsidRPr="000E545D" w:rsidRDefault="005B7BAC" w:rsidP="00431822">
      <w:pPr>
        <w:spacing w:after="15" w:line="240" w:lineRule="auto"/>
        <w:rPr>
          <w:rFonts w:cstheme="minorHAnsi"/>
          <w:sz w:val="20"/>
          <w:szCs w:val="20"/>
        </w:rPr>
      </w:pPr>
      <w:r w:rsidRPr="000E545D">
        <w:rPr>
          <w:rStyle w:val="FootnoteReference"/>
          <w:rFonts w:cstheme="minorHAnsi"/>
          <w:sz w:val="20"/>
          <w:szCs w:val="20"/>
        </w:rPr>
        <w:footnoteRef/>
      </w:r>
      <w:r w:rsidRPr="000E545D">
        <w:rPr>
          <w:rFonts w:cstheme="minorHAnsi"/>
          <w:sz w:val="20"/>
          <w:szCs w:val="20"/>
        </w:rPr>
        <w:t xml:space="preserve"> </w:t>
      </w:r>
      <w:r w:rsidRPr="000E545D">
        <w:rPr>
          <w:rFonts w:eastAsia="Times New Roman" w:cstheme="minorHAnsi"/>
          <w:color w:val="000000"/>
          <w:sz w:val="20"/>
          <w:szCs w:val="20"/>
          <w:lang w:eastAsia="en-AU"/>
        </w:rPr>
        <w:t>Cellular destruction of erythrocytes</w:t>
      </w:r>
    </w:p>
  </w:footnote>
  <w:footnote w:id="13">
    <w:p w:rsidR="005B7BAC" w:rsidRPr="000E545D" w:rsidRDefault="005B7BAC" w:rsidP="000B0BC7">
      <w:pPr>
        <w:pStyle w:val="NormalWeb"/>
        <w:spacing w:before="0" w:beforeAutospacing="0" w:after="0" w:afterAutospacing="0"/>
        <w:rPr>
          <w:rFonts w:asciiTheme="minorHAnsi" w:hAnsiTheme="minorHAnsi" w:cstheme="minorHAnsi"/>
        </w:rPr>
      </w:pPr>
      <w:r w:rsidRPr="000E545D">
        <w:rPr>
          <w:rStyle w:val="FootnoteReference"/>
          <w:rFonts w:asciiTheme="minorHAnsi" w:hAnsiTheme="minorHAnsi" w:cstheme="minorHAnsi"/>
        </w:rPr>
        <w:footnoteRef/>
      </w:r>
      <w:r w:rsidRPr="000E545D">
        <w:rPr>
          <w:rFonts w:asciiTheme="minorHAnsi" w:hAnsiTheme="minorHAnsi" w:cstheme="minorHAnsi"/>
        </w:rPr>
        <w:t xml:space="preserve"> </w:t>
      </w:r>
      <w:proofErr w:type="spellStart"/>
      <w:r w:rsidRPr="000E545D">
        <w:rPr>
          <w:rFonts w:asciiTheme="minorHAnsi" w:hAnsiTheme="minorHAnsi" w:cstheme="minorHAnsi"/>
          <w:sz w:val="20"/>
          <w:szCs w:val="20"/>
        </w:rPr>
        <w:t>J.D.Boone</w:t>
      </w:r>
      <w:proofErr w:type="spellEnd"/>
      <w:r w:rsidRPr="000E545D">
        <w:rPr>
          <w:rFonts w:asciiTheme="minorHAnsi" w:hAnsiTheme="minorHAnsi" w:cstheme="minorHAnsi"/>
          <w:sz w:val="20"/>
          <w:szCs w:val="20"/>
        </w:rPr>
        <w:t xml:space="preserve">, K.H. Kim, M. Marques and J.M. </w:t>
      </w:r>
      <w:proofErr w:type="spellStart"/>
      <w:r w:rsidRPr="000E545D">
        <w:rPr>
          <w:rFonts w:asciiTheme="minorHAnsi" w:hAnsiTheme="minorHAnsi" w:cstheme="minorHAnsi"/>
          <w:sz w:val="20"/>
          <w:szCs w:val="20"/>
        </w:rPr>
        <w:t>Straughn</w:t>
      </w:r>
      <w:proofErr w:type="spellEnd"/>
      <w:proofErr w:type="gramStart"/>
      <w:r w:rsidRPr="000E545D">
        <w:rPr>
          <w:rFonts w:asciiTheme="minorHAnsi" w:hAnsiTheme="minorHAnsi" w:cstheme="minorHAnsi"/>
          <w:sz w:val="20"/>
          <w:szCs w:val="20"/>
        </w:rPr>
        <w:t>,“</w:t>
      </w:r>
      <w:proofErr w:type="gramEnd"/>
      <w:r w:rsidRPr="000E545D">
        <w:rPr>
          <w:rFonts w:asciiTheme="minorHAnsi" w:hAnsiTheme="minorHAnsi" w:cstheme="minorHAnsi"/>
          <w:sz w:val="20"/>
          <w:szCs w:val="20"/>
        </w:rPr>
        <w:t xml:space="preserve">Compliance rates and outcomes associated with a restrictive transfusion policy in </w:t>
      </w:r>
      <w:proofErr w:type="spellStart"/>
      <w:r w:rsidRPr="000E545D">
        <w:rPr>
          <w:rFonts w:asciiTheme="minorHAnsi" w:hAnsiTheme="minorHAnsi" w:cstheme="minorHAnsi"/>
          <w:sz w:val="20"/>
          <w:szCs w:val="20"/>
        </w:rPr>
        <w:t>gynecologic</w:t>
      </w:r>
      <w:proofErr w:type="spellEnd"/>
      <w:r w:rsidRPr="000E545D">
        <w:rPr>
          <w:rFonts w:asciiTheme="minorHAnsi" w:hAnsiTheme="minorHAnsi" w:cstheme="minorHAnsi"/>
          <w:sz w:val="20"/>
          <w:szCs w:val="20"/>
        </w:rPr>
        <w:t xml:space="preserve"> oncology patients.” </w:t>
      </w:r>
      <w:proofErr w:type="spellStart"/>
      <w:r w:rsidRPr="000E545D">
        <w:rPr>
          <w:rFonts w:asciiTheme="minorHAnsi" w:hAnsiTheme="minorHAnsi" w:cstheme="minorHAnsi"/>
          <w:i/>
          <w:iCs/>
          <w:sz w:val="20"/>
          <w:szCs w:val="20"/>
        </w:rPr>
        <w:t>Gynecologic</w:t>
      </w:r>
      <w:proofErr w:type="spellEnd"/>
      <w:r w:rsidRPr="000E545D">
        <w:rPr>
          <w:rFonts w:asciiTheme="minorHAnsi" w:hAnsiTheme="minorHAnsi" w:cstheme="minorHAnsi"/>
          <w:i/>
          <w:iCs/>
          <w:sz w:val="20"/>
          <w:szCs w:val="20"/>
        </w:rPr>
        <w:t xml:space="preserve"> Oncology</w:t>
      </w:r>
      <w:r w:rsidRPr="000E545D">
        <w:rPr>
          <w:rFonts w:asciiTheme="minorHAnsi" w:hAnsiTheme="minorHAnsi" w:cstheme="minorHAnsi"/>
          <w:sz w:val="20"/>
          <w:szCs w:val="20"/>
        </w:rPr>
        <w:t>, 2014</w:t>
      </w:r>
      <w:proofErr w:type="gramStart"/>
      <w:r w:rsidRPr="000E545D">
        <w:rPr>
          <w:rFonts w:asciiTheme="minorHAnsi" w:hAnsiTheme="minorHAnsi" w:cstheme="minorHAnsi"/>
          <w:sz w:val="20"/>
          <w:szCs w:val="20"/>
        </w:rPr>
        <w:t>;132</w:t>
      </w:r>
      <w:proofErr w:type="gramEnd"/>
      <w:r w:rsidRPr="000E545D">
        <w:rPr>
          <w:rFonts w:asciiTheme="minorHAnsi" w:hAnsiTheme="minorHAnsi" w:cstheme="minorHAnsi"/>
          <w:sz w:val="20"/>
          <w:szCs w:val="20"/>
        </w:rPr>
        <w:t>(1):227-230.</w:t>
      </w:r>
    </w:p>
  </w:footnote>
  <w:footnote w:id="14">
    <w:p w:rsidR="005B7BAC" w:rsidRPr="000E545D" w:rsidRDefault="005B7BAC" w:rsidP="000B0BC7">
      <w:pPr>
        <w:pStyle w:val="FootnoteText"/>
        <w:rPr>
          <w:rFonts w:cstheme="minorHAnsi"/>
        </w:rPr>
      </w:pPr>
      <w:r w:rsidRPr="000E545D">
        <w:rPr>
          <w:rStyle w:val="FootnoteReference"/>
          <w:rFonts w:cstheme="minorHAnsi"/>
        </w:rPr>
        <w:footnoteRef/>
      </w:r>
      <w:r w:rsidRPr="000E545D">
        <w:rPr>
          <w:rFonts w:cstheme="minorHAnsi"/>
        </w:rPr>
        <w:t xml:space="preserve"> The mean age of patients was 55.9 years.</w:t>
      </w:r>
      <w:r w:rsidRPr="000E545D">
        <w:rPr>
          <w:rFonts w:cstheme="minorHAnsi"/>
          <w:color w:val="FF0066"/>
        </w:rPr>
        <w:t xml:space="preserve"> </w:t>
      </w:r>
      <w:r w:rsidRPr="000E545D">
        <w:rPr>
          <w:rFonts w:cstheme="minorHAnsi"/>
        </w:rPr>
        <w:t xml:space="preserve">Ovarian and </w:t>
      </w:r>
      <w:hyperlink r:id="rId4" w:tooltip="Having to do with the endometrium (the layer of tissue that lines the uterus)." w:history="1">
        <w:r w:rsidRPr="000E545D">
          <w:rPr>
            <w:rStyle w:val="Hyperlink"/>
            <w:rFonts w:cstheme="minorHAnsi"/>
            <w:color w:val="auto"/>
            <w:u w:val="none"/>
          </w:rPr>
          <w:t>endometrial</w:t>
        </w:r>
      </w:hyperlink>
      <w:r w:rsidRPr="000E545D">
        <w:rPr>
          <w:rFonts w:cstheme="minorHAnsi"/>
        </w:rPr>
        <w:t xml:space="preserve"> cancers were the most </w:t>
      </w:r>
      <w:proofErr w:type="spellStart"/>
      <w:r w:rsidRPr="000E545D">
        <w:rPr>
          <w:rFonts w:cstheme="minorHAnsi"/>
        </w:rPr>
        <w:t>commonin</w:t>
      </w:r>
      <w:proofErr w:type="spellEnd"/>
      <w:r w:rsidRPr="000E545D">
        <w:rPr>
          <w:rFonts w:cstheme="minorHAnsi"/>
        </w:rPr>
        <w:t xml:space="preserve"> the group.</w:t>
      </w:r>
    </w:p>
  </w:footnote>
  <w:footnote w:id="15">
    <w:p w:rsidR="005B7BAC" w:rsidRPr="000E545D" w:rsidRDefault="005B7BAC" w:rsidP="000B0BC7">
      <w:pPr>
        <w:pStyle w:val="FootnoteText"/>
        <w:rPr>
          <w:rFonts w:cstheme="minorHAnsi"/>
        </w:rPr>
      </w:pPr>
      <w:r w:rsidRPr="000E545D">
        <w:rPr>
          <w:rStyle w:val="FootnoteReference"/>
          <w:rFonts w:cstheme="minorHAnsi"/>
        </w:rPr>
        <w:footnoteRef/>
      </w:r>
      <w:r w:rsidRPr="000E545D">
        <w:rPr>
          <w:rFonts w:cstheme="minorHAnsi"/>
        </w:rPr>
        <w:t xml:space="preserve"> This can arise when the blood group of the mother and foetus differ.</w:t>
      </w:r>
    </w:p>
  </w:footnote>
  <w:footnote w:id="16">
    <w:p w:rsidR="005B7BAC" w:rsidRPr="000E545D" w:rsidRDefault="005B7BAC" w:rsidP="000B0BC7">
      <w:pPr>
        <w:pStyle w:val="NormalWeb"/>
        <w:shd w:val="clear" w:color="auto" w:fill="FBFBFB"/>
        <w:spacing w:before="0" w:beforeAutospacing="0" w:after="0" w:afterAutospacing="0"/>
        <w:rPr>
          <w:rFonts w:asciiTheme="minorHAnsi" w:hAnsiTheme="minorHAnsi" w:cstheme="minorHAnsi"/>
        </w:rPr>
      </w:pPr>
      <w:r w:rsidRPr="000E545D">
        <w:rPr>
          <w:rStyle w:val="FootnoteReference"/>
          <w:rFonts w:asciiTheme="minorHAnsi" w:hAnsiTheme="minorHAnsi" w:cstheme="minorHAnsi"/>
          <w:sz w:val="20"/>
          <w:szCs w:val="20"/>
        </w:rPr>
        <w:footnoteRef/>
      </w:r>
      <w:r w:rsidRPr="000E545D">
        <w:rPr>
          <w:rFonts w:asciiTheme="minorHAnsi" w:hAnsiTheme="minorHAnsi" w:cstheme="minorHAnsi"/>
          <w:sz w:val="20"/>
          <w:szCs w:val="20"/>
        </w:rPr>
        <w:t xml:space="preserve"> See </w:t>
      </w:r>
      <w:r w:rsidRPr="000E545D">
        <w:rPr>
          <w:rFonts w:asciiTheme="minorHAnsi" w:hAnsiTheme="minorHAnsi" w:cstheme="minorHAnsi"/>
          <w:i/>
          <w:sz w:val="20"/>
          <w:szCs w:val="20"/>
        </w:rPr>
        <w:t>Biomedical Central.</w:t>
      </w:r>
      <w:r w:rsidRPr="000E545D">
        <w:rPr>
          <w:rStyle w:val="Strong"/>
          <w:rFonts w:asciiTheme="minorHAnsi" w:hAnsiTheme="minorHAnsi" w:cstheme="minorHAnsi"/>
          <w:b w:val="0"/>
          <w:sz w:val="20"/>
          <w:szCs w:val="20"/>
          <w:lang w:val="en-GB"/>
        </w:rPr>
        <w:t xml:space="preserve"> Julie Kent</w:t>
      </w:r>
      <w:r w:rsidRPr="000E545D">
        <w:rPr>
          <w:rFonts w:asciiTheme="minorHAnsi" w:hAnsiTheme="minorHAnsi" w:cstheme="minorHAnsi"/>
          <w:b/>
          <w:sz w:val="20"/>
          <w:szCs w:val="20"/>
          <w:lang w:val="en-GB"/>
        </w:rPr>
        <w:t xml:space="preserve">, </w:t>
      </w:r>
      <w:r w:rsidRPr="000E545D">
        <w:rPr>
          <w:rStyle w:val="Strong"/>
          <w:rFonts w:asciiTheme="minorHAnsi" w:hAnsiTheme="minorHAnsi" w:cstheme="minorHAnsi"/>
          <w:b w:val="0"/>
          <w:sz w:val="20"/>
          <w:szCs w:val="20"/>
          <w:lang w:val="en-GB"/>
        </w:rPr>
        <w:t>Anne-Maree Farrell</w:t>
      </w:r>
      <w:r w:rsidRPr="000E545D">
        <w:rPr>
          <w:rFonts w:asciiTheme="minorHAnsi" w:hAnsiTheme="minorHAnsi" w:cstheme="minorHAnsi"/>
          <w:sz w:val="20"/>
          <w:szCs w:val="20"/>
          <w:lang w:val="en-GB"/>
        </w:rPr>
        <w:t xml:space="preserve"> and </w:t>
      </w:r>
      <w:r w:rsidRPr="000E545D">
        <w:rPr>
          <w:rStyle w:val="Strong"/>
          <w:rFonts w:asciiTheme="minorHAnsi" w:hAnsiTheme="minorHAnsi" w:cstheme="minorHAnsi"/>
          <w:b w:val="0"/>
          <w:sz w:val="20"/>
          <w:szCs w:val="20"/>
          <w:lang w:val="en-GB"/>
        </w:rPr>
        <w:t xml:space="preserve">Peter </w:t>
      </w:r>
      <w:proofErr w:type="spellStart"/>
      <w:r w:rsidRPr="000E545D">
        <w:rPr>
          <w:rStyle w:val="Strong"/>
          <w:rFonts w:asciiTheme="minorHAnsi" w:hAnsiTheme="minorHAnsi" w:cstheme="minorHAnsi"/>
          <w:b w:val="0"/>
          <w:sz w:val="20"/>
          <w:szCs w:val="20"/>
          <w:lang w:val="en-GB"/>
        </w:rPr>
        <w:t>Soothill</w:t>
      </w:r>
      <w:proofErr w:type="spellEnd"/>
      <w:r w:rsidRPr="000E545D">
        <w:rPr>
          <w:rStyle w:val="Strong"/>
          <w:rFonts w:asciiTheme="minorHAnsi" w:hAnsiTheme="minorHAnsi" w:cstheme="minorHAnsi"/>
          <w:b w:val="0"/>
          <w:sz w:val="20"/>
          <w:szCs w:val="20"/>
          <w:lang w:val="en-GB"/>
        </w:rPr>
        <w:t>,”</w:t>
      </w:r>
      <w:r w:rsidRPr="000E545D">
        <w:rPr>
          <w:rFonts w:asciiTheme="minorHAnsi" w:hAnsiTheme="minorHAnsi" w:cstheme="minorHAnsi"/>
          <w:sz w:val="20"/>
          <w:szCs w:val="20"/>
          <w:lang w:val="en-GB"/>
        </w:rPr>
        <w:t xml:space="preserve"> Routine administration of Anti-D: the ethical case for offering pregnant women </w:t>
      </w:r>
      <w:proofErr w:type="spellStart"/>
      <w:r w:rsidRPr="000E545D">
        <w:rPr>
          <w:rFonts w:asciiTheme="minorHAnsi" w:hAnsiTheme="minorHAnsi" w:cstheme="minorHAnsi"/>
          <w:sz w:val="20"/>
          <w:szCs w:val="20"/>
          <w:lang w:val="en-GB"/>
        </w:rPr>
        <w:t>fetal</w:t>
      </w:r>
      <w:proofErr w:type="spellEnd"/>
      <w:r w:rsidRPr="000E545D">
        <w:rPr>
          <w:rFonts w:asciiTheme="minorHAnsi" w:hAnsiTheme="minorHAnsi" w:cstheme="minorHAnsi"/>
          <w:sz w:val="20"/>
          <w:szCs w:val="20"/>
          <w:lang w:val="en-GB"/>
        </w:rPr>
        <w:t xml:space="preserve"> </w:t>
      </w:r>
      <w:r w:rsidRPr="000E545D">
        <w:rPr>
          <w:rStyle w:val="Emphasis"/>
          <w:rFonts w:asciiTheme="minorHAnsi" w:hAnsiTheme="minorHAnsi" w:cstheme="minorHAnsi"/>
          <w:sz w:val="20"/>
          <w:szCs w:val="20"/>
          <w:lang w:val="en-GB"/>
        </w:rPr>
        <w:t>RHD</w:t>
      </w:r>
      <w:r w:rsidRPr="000E545D">
        <w:rPr>
          <w:rFonts w:asciiTheme="minorHAnsi" w:hAnsiTheme="minorHAnsi" w:cstheme="minorHAnsi"/>
          <w:sz w:val="20"/>
          <w:szCs w:val="20"/>
          <w:lang w:val="en-GB"/>
        </w:rPr>
        <w:t xml:space="preserve"> genotyping and a review of policy and practice</w:t>
      </w:r>
      <w:r w:rsidRPr="000E545D">
        <w:rPr>
          <w:rFonts w:asciiTheme="minorHAnsi" w:hAnsiTheme="minorHAnsi" w:cstheme="minorHAnsi"/>
          <w:b/>
          <w:sz w:val="20"/>
          <w:szCs w:val="20"/>
          <w:lang w:val="en-GB"/>
        </w:rPr>
        <w:t xml:space="preserve">” </w:t>
      </w:r>
      <w:r w:rsidRPr="000E545D">
        <w:rPr>
          <w:rStyle w:val="Emphasis"/>
          <w:rFonts w:asciiTheme="minorHAnsi" w:hAnsiTheme="minorHAnsi" w:cstheme="minorHAnsi"/>
          <w:sz w:val="20"/>
          <w:szCs w:val="20"/>
          <w:lang w:val="en-GB"/>
        </w:rPr>
        <w:t>BMC Pregnancy and Childbirth</w:t>
      </w:r>
      <w:r w:rsidRPr="000E545D">
        <w:rPr>
          <w:rFonts w:asciiTheme="minorHAnsi" w:hAnsiTheme="minorHAnsi" w:cstheme="minorHAnsi"/>
          <w:sz w:val="20"/>
          <w:szCs w:val="20"/>
          <w:lang w:val="en-GB"/>
        </w:rPr>
        <w:t xml:space="preserve"> 2014, </w:t>
      </w:r>
      <w:r w:rsidRPr="000E545D">
        <w:rPr>
          <w:rStyle w:val="Strong"/>
          <w:rFonts w:asciiTheme="minorHAnsi" w:hAnsiTheme="minorHAnsi" w:cstheme="minorHAnsi"/>
          <w:b w:val="0"/>
          <w:sz w:val="20"/>
          <w:szCs w:val="20"/>
          <w:lang w:val="en-GB"/>
        </w:rPr>
        <w:t>14</w:t>
      </w:r>
      <w:r w:rsidRPr="000E545D">
        <w:rPr>
          <w:rFonts w:asciiTheme="minorHAnsi" w:hAnsiTheme="minorHAnsi" w:cstheme="minorHAnsi"/>
          <w:sz w:val="20"/>
          <w:szCs w:val="20"/>
          <w:lang w:val="en-GB"/>
        </w:rPr>
        <w:t xml:space="preserve">:87 </w:t>
      </w:r>
      <w:r w:rsidRPr="000E545D">
        <w:rPr>
          <w:rStyle w:val="pseudotab3"/>
          <w:rFonts w:asciiTheme="minorHAnsi" w:hAnsiTheme="minorHAnsi" w:cstheme="minorHAnsi"/>
          <w:sz w:val="20"/>
          <w:szCs w:val="20"/>
          <w:lang w:val="en-GB"/>
        </w:rPr>
        <w:t>doi</w:t>
      </w:r>
      <w:proofErr w:type="gramStart"/>
      <w:r w:rsidRPr="000E545D">
        <w:rPr>
          <w:rStyle w:val="pseudotab3"/>
          <w:rFonts w:asciiTheme="minorHAnsi" w:hAnsiTheme="minorHAnsi" w:cstheme="minorHAnsi"/>
          <w:sz w:val="20"/>
          <w:szCs w:val="20"/>
          <w:lang w:val="en-GB"/>
        </w:rPr>
        <w:t>:10.1186</w:t>
      </w:r>
      <w:proofErr w:type="gramEnd"/>
      <w:r w:rsidRPr="000E545D">
        <w:rPr>
          <w:rStyle w:val="pseudotab3"/>
          <w:rFonts w:asciiTheme="minorHAnsi" w:hAnsiTheme="minorHAnsi" w:cstheme="minorHAnsi"/>
          <w:sz w:val="20"/>
          <w:szCs w:val="20"/>
          <w:lang w:val="en-GB"/>
        </w:rPr>
        <w:t xml:space="preserve">/1471-2393-14-87 or </w:t>
      </w:r>
      <w:hyperlink r:id="rId5" w:history="1">
        <w:r w:rsidRPr="000E545D">
          <w:rPr>
            <w:rStyle w:val="Hyperlink"/>
            <w:rFonts w:asciiTheme="minorHAnsi" w:hAnsiTheme="minorHAnsi" w:cstheme="minorHAnsi"/>
            <w:sz w:val="20"/>
            <w:szCs w:val="20"/>
            <w:lang w:val="en-GB"/>
          </w:rPr>
          <w:t>http://www.biomedcentral.com/1471-2393/14/87</w:t>
        </w:r>
      </w:hyperlink>
      <w:r w:rsidRPr="000E545D">
        <w:rPr>
          <w:rFonts w:asciiTheme="minorHAnsi" w:hAnsiTheme="minorHAnsi" w:cstheme="minorHAnsi"/>
          <w:color w:val="474848"/>
          <w:sz w:val="20"/>
          <w:szCs w:val="20"/>
          <w:lang w:val="en-GB"/>
        </w:rPr>
        <w:t xml:space="preserve"> </w:t>
      </w:r>
      <w:r w:rsidRPr="000E545D">
        <w:rPr>
          <w:rFonts w:asciiTheme="minorHAnsi" w:hAnsiTheme="minorHAnsi" w:cstheme="minorHAnsi"/>
          <w:sz w:val="20"/>
          <w:szCs w:val="20"/>
          <w:lang w:val="en-GB"/>
        </w:rPr>
        <w:t xml:space="preserve">There is one Australian-based author: Anne-Maree Farrell is with the Faculty of Law, </w:t>
      </w:r>
      <w:proofErr w:type="spellStart"/>
      <w:r w:rsidRPr="000E545D">
        <w:rPr>
          <w:rFonts w:asciiTheme="minorHAnsi" w:hAnsiTheme="minorHAnsi" w:cstheme="minorHAnsi"/>
          <w:sz w:val="20"/>
          <w:szCs w:val="20"/>
          <w:lang w:val="en-GB"/>
        </w:rPr>
        <w:t>Monash</w:t>
      </w:r>
      <w:proofErr w:type="spellEnd"/>
      <w:r w:rsidRPr="000E545D">
        <w:rPr>
          <w:rFonts w:asciiTheme="minorHAnsi" w:hAnsiTheme="minorHAnsi" w:cstheme="minorHAnsi"/>
          <w:sz w:val="20"/>
          <w:szCs w:val="20"/>
          <w:lang w:val="en-GB"/>
        </w:rPr>
        <w:t xml:space="preserve"> University.</w:t>
      </w:r>
    </w:p>
  </w:footnote>
  <w:footnote w:id="17">
    <w:p w:rsidR="005B7BAC" w:rsidRPr="000E545D" w:rsidRDefault="005B7BAC" w:rsidP="00431822">
      <w:pPr>
        <w:pStyle w:val="FootnoteText"/>
        <w:rPr>
          <w:rFonts w:cstheme="minorHAnsi"/>
        </w:rPr>
      </w:pPr>
      <w:r w:rsidRPr="000E545D">
        <w:rPr>
          <w:rStyle w:val="FootnoteReference"/>
          <w:rFonts w:cstheme="minorHAnsi"/>
        </w:rPr>
        <w:footnoteRef/>
      </w:r>
      <w:r w:rsidRPr="000E545D">
        <w:rPr>
          <w:rFonts w:cstheme="minorHAnsi"/>
        </w:rPr>
        <w:t xml:space="preserve"> From Japan, China, Korea and Taiwan</w:t>
      </w:r>
    </w:p>
  </w:footnote>
  <w:footnote w:id="18">
    <w:p w:rsidR="005B7BAC" w:rsidRPr="000E545D" w:rsidRDefault="005B7BAC" w:rsidP="000B0BE8">
      <w:pPr>
        <w:spacing w:after="0"/>
        <w:rPr>
          <w:rFonts w:cstheme="minorHAnsi"/>
        </w:rPr>
      </w:pPr>
      <w:r w:rsidRPr="000E545D">
        <w:rPr>
          <w:rStyle w:val="FootnoteReference"/>
          <w:rFonts w:cstheme="minorHAnsi"/>
          <w:sz w:val="20"/>
          <w:szCs w:val="20"/>
        </w:rPr>
        <w:footnoteRef/>
      </w:r>
      <w:r w:rsidRPr="000E545D">
        <w:rPr>
          <w:rFonts w:cstheme="minorHAnsi"/>
          <w:sz w:val="20"/>
          <w:szCs w:val="20"/>
        </w:rPr>
        <w:t xml:space="preserve"> “Redox Properties of Human </w:t>
      </w:r>
      <w:proofErr w:type="spellStart"/>
      <w:r w:rsidRPr="000E545D">
        <w:rPr>
          <w:rFonts w:cstheme="minorHAnsi"/>
          <w:sz w:val="20"/>
          <w:szCs w:val="20"/>
        </w:rPr>
        <w:t>Hemoglobin</w:t>
      </w:r>
      <w:proofErr w:type="spellEnd"/>
      <w:r w:rsidRPr="000E545D">
        <w:rPr>
          <w:rFonts w:cstheme="minorHAnsi"/>
          <w:sz w:val="20"/>
          <w:szCs w:val="20"/>
        </w:rPr>
        <w:t xml:space="preserve"> in Complex with Fractionated </w:t>
      </w:r>
      <w:proofErr w:type="spellStart"/>
      <w:r w:rsidRPr="000E545D">
        <w:rPr>
          <w:rFonts w:cstheme="minorHAnsi"/>
          <w:sz w:val="20"/>
          <w:szCs w:val="20"/>
        </w:rPr>
        <w:t>Dimeric</w:t>
      </w:r>
      <w:proofErr w:type="spellEnd"/>
      <w:r w:rsidRPr="000E545D">
        <w:rPr>
          <w:rFonts w:cstheme="minorHAnsi"/>
          <w:sz w:val="20"/>
          <w:szCs w:val="20"/>
        </w:rPr>
        <w:t xml:space="preserve"> and Polymeric Human </w:t>
      </w:r>
      <w:proofErr w:type="spellStart"/>
      <w:r w:rsidRPr="000E545D">
        <w:rPr>
          <w:rFonts w:cstheme="minorHAnsi"/>
          <w:sz w:val="20"/>
          <w:szCs w:val="20"/>
        </w:rPr>
        <w:t>Haptoglobin</w:t>
      </w:r>
      <w:proofErr w:type="spellEnd"/>
      <w:r w:rsidRPr="000E545D">
        <w:rPr>
          <w:rFonts w:cstheme="minorHAnsi"/>
          <w:sz w:val="20"/>
          <w:szCs w:val="20"/>
        </w:rPr>
        <w:t>”,</w:t>
      </w:r>
      <w:r w:rsidRPr="000E545D">
        <w:rPr>
          <w:rFonts w:cstheme="minorHAnsi"/>
          <w:i/>
          <w:sz w:val="20"/>
          <w:szCs w:val="20"/>
        </w:rPr>
        <w:t>Free Radical Biology and Medicine</w:t>
      </w:r>
      <w:r w:rsidRPr="000E545D">
        <w:rPr>
          <w:rFonts w:cstheme="minorHAnsi"/>
          <w:sz w:val="20"/>
          <w:szCs w:val="20"/>
        </w:rPr>
        <w:t xml:space="preserve"> 69 </w:t>
      </w:r>
      <w:hyperlink r:id="rId6" w:history="1">
        <w:r w:rsidRPr="000E545D">
          <w:rPr>
            <w:rFonts w:cstheme="minorHAnsi"/>
            <w:sz w:val="20"/>
            <w:szCs w:val="20"/>
          </w:rPr>
          <w:t>(2014) 265-277</w:t>
        </w:r>
      </w:hyperlink>
    </w:p>
  </w:footnote>
  <w:footnote w:id="19">
    <w:p w:rsidR="005B7BAC" w:rsidRPr="000E545D" w:rsidRDefault="005B7BAC" w:rsidP="000B0BE8">
      <w:pPr>
        <w:pStyle w:val="FootnoteText"/>
        <w:rPr>
          <w:rFonts w:cstheme="minorHAnsi"/>
        </w:rPr>
      </w:pPr>
      <w:r w:rsidRPr="000E545D">
        <w:rPr>
          <w:rStyle w:val="FootnoteReference"/>
          <w:rFonts w:cstheme="minorHAnsi"/>
        </w:rPr>
        <w:footnoteRef/>
      </w:r>
      <w:r w:rsidRPr="000E545D">
        <w:rPr>
          <w:rFonts w:cstheme="minorHAnsi"/>
        </w:rPr>
        <w:t xml:space="preserve"> </w:t>
      </w:r>
      <w:proofErr w:type="gramStart"/>
      <w:r w:rsidRPr="000E545D">
        <w:rPr>
          <w:rFonts w:cstheme="minorHAnsi"/>
        </w:rPr>
        <w:t>from</w:t>
      </w:r>
      <w:proofErr w:type="gramEnd"/>
      <w:r w:rsidRPr="000E545D">
        <w:rPr>
          <w:rFonts w:cstheme="minorHAnsi"/>
        </w:rPr>
        <w:t xml:space="preserve"> the Office of Blood Research and Review in the Center for Biologics Evaluation and Review</w:t>
      </w:r>
      <w:r w:rsidRPr="000E545D">
        <w:rPr>
          <w:rFonts w:cstheme="minorHAnsi"/>
          <w:color w:val="0070C0"/>
        </w:rPr>
        <w:t>.</w:t>
      </w:r>
    </w:p>
  </w:footnote>
  <w:footnote w:id="20">
    <w:p w:rsidR="005B7BAC" w:rsidRPr="000E545D" w:rsidRDefault="005B7BAC">
      <w:pPr>
        <w:pStyle w:val="FootnoteText"/>
        <w:rPr>
          <w:rFonts w:cstheme="minorHAnsi"/>
        </w:rPr>
      </w:pPr>
      <w:r w:rsidRPr="000E545D">
        <w:rPr>
          <w:rStyle w:val="FootnoteReference"/>
          <w:rFonts w:cstheme="minorHAnsi"/>
        </w:rPr>
        <w:footnoteRef/>
      </w:r>
      <w:r w:rsidRPr="000E545D">
        <w:rPr>
          <w:rFonts w:cstheme="minorHAnsi"/>
        </w:rPr>
        <w:t xml:space="preserve"> </w:t>
      </w:r>
      <w:r w:rsidRPr="000E545D">
        <w:rPr>
          <w:rFonts w:cstheme="minorHAnsi"/>
          <w:color w:val="333333"/>
          <w:lang w:val="en-US"/>
        </w:rPr>
        <w:t xml:space="preserve">Arya </w:t>
      </w:r>
      <w:proofErr w:type="spellStart"/>
      <w:r w:rsidRPr="000E545D">
        <w:rPr>
          <w:rFonts w:cstheme="minorHAnsi"/>
          <w:color w:val="333333"/>
          <w:lang w:val="en-US"/>
        </w:rPr>
        <w:t>Khosravi</w:t>
      </w:r>
      <w:proofErr w:type="spellEnd"/>
      <w:r w:rsidRPr="000E545D">
        <w:rPr>
          <w:rFonts w:cstheme="minorHAnsi"/>
          <w:color w:val="333333"/>
          <w:lang w:val="en-US"/>
        </w:rPr>
        <w:t xml:space="preserve">, Alberto </w:t>
      </w:r>
      <w:proofErr w:type="spellStart"/>
      <w:r w:rsidRPr="000E545D">
        <w:rPr>
          <w:rFonts w:cstheme="minorHAnsi"/>
          <w:color w:val="333333"/>
          <w:lang w:val="en-US"/>
        </w:rPr>
        <w:t>Yáñez</w:t>
      </w:r>
      <w:proofErr w:type="spellEnd"/>
      <w:r w:rsidRPr="000E545D">
        <w:rPr>
          <w:rFonts w:cstheme="minorHAnsi"/>
          <w:color w:val="333333"/>
          <w:lang w:val="en-US"/>
        </w:rPr>
        <w:t xml:space="preserve">, Jeremy G. Price, Andrew Chow, Miriam </w:t>
      </w:r>
      <w:proofErr w:type="spellStart"/>
      <w:r w:rsidRPr="000E545D">
        <w:rPr>
          <w:rFonts w:cstheme="minorHAnsi"/>
          <w:color w:val="333333"/>
          <w:lang w:val="en-US"/>
        </w:rPr>
        <w:t>Merad</w:t>
      </w:r>
      <w:proofErr w:type="spellEnd"/>
      <w:r w:rsidRPr="000E545D">
        <w:rPr>
          <w:rFonts w:cstheme="minorHAnsi"/>
          <w:color w:val="333333"/>
          <w:lang w:val="en-US"/>
        </w:rPr>
        <w:t xml:space="preserve">, Helen S. </w:t>
      </w:r>
      <w:proofErr w:type="spellStart"/>
      <w:r w:rsidRPr="000E545D">
        <w:rPr>
          <w:rFonts w:cstheme="minorHAnsi"/>
          <w:color w:val="333333"/>
          <w:lang w:val="en-US"/>
        </w:rPr>
        <w:t>Goodridge</w:t>
      </w:r>
      <w:proofErr w:type="spellEnd"/>
      <w:r w:rsidRPr="000E545D">
        <w:rPr>
          <w:rFonts w:cstheme="minorHAnsi"/>
          <w:color w:val="333333"/>
          <w:lang w:val="en-US"/>
        </w:rPr>
        <w:t xml:space="preserve">, </w:t>
      </w:r>
      <w:proofErr w:type="spellStart"/>
      <w:r w:rsidRPr="000E545D">
        <w:rPr>
          <w:rFonts w:cstheme="minorHAnsi"/>
          <w:color w:val="333333"/>
          <w:lang w:val="en-US"/>
        </w:rPr>
        <w:t>Sarkis</w:t>
      </w:r>
      <w:proofErr w:type="spellEnd"/>
      <w:r w:rsidRPr="000E545D">
        <w:rPr>
          <w:rFonts w:cstheme="minorHAnsi"/>
          <w:color w:val="333333"/>
          <w:lang w:val="en-US"/>
        </w:rPr>
        <w:t xml:space="preserve"> K. </w:t>
      </w:r>
      <w:proofErr w:type="spellStart"/>
      <w:r w:rsidRPr="000E545D">
        <w:rPr>
          <w:rFonts w:cstheme="minorHAnsi"/>
          <w:color w:val="333333"/>
          <w:lang w:val="en-US"/>
        </w:rPr>
        <w:t>Mazmanian</w:t>
      </w:r>
      <w:proofErr w:type="spellEnd"/>
      <w:r w:rsidRPr="000E545D">
        <w:rPr>
          <w:rFonts w:cstheme="minorHAnsi"/>
          <w:color w:val="333333"/>
          <w:lang w:val="en-US"/>
        </w:rPr>
        <w:t xml:space="preserve">, “Gut </w:t>
      </w:r>
      <w:proofErr w:type="spellStart"/>
      <w:r w:rsidRPr="000E545D">
        <w:rPr>
          <w:rFonts w:cstheme="minorHAnsi"/>
          <w:color w:val="333333"/>
          <w:lang w:val="en-US"/>
        </w:rPr>
        <w:t>Microbiota</w:t>
      </w:r>
      <w:proofErr w:type="spellEnd"/>
      <w:r w:rsidRPr="000E545D">
        <w:rPr>
          <w:rFonts w:cstheme="minorHAnsi"/>
          <w:color w:val="333333"/>
          <w:lang w:val="en-US"/>
        </w:rPr>
        <w:t xml:space="preserve"> Promote Hematopoiesis to Control Bacterial Infection,” </w:t>
      </w:r>
      <w:r w:rsidRPr="000E545D">
        <w:rPr>
          <w:rFonts w:cstheme="minorHAnsi"/>
          <w:i/>
          <w:color w:val="333333"/>
          <w:lang w:val="en-US"/>
        </w:rPr>
        <w:t>Cell Host &amp; Microbe</w:t>
      </w:r>
      <w:r w:rsidRPr="000E545D">
        <w:rPr>
          <w:rFonts w:cstheme="minorHAnsi"/>
          <w:color w:val="333333"/>
          <w:lang w:val="en-US"/>
        </w:rPr>
        <w:t xml:space="preserve"> 12 March 2014 - See more at: </w:t>
      </w:r>
      <w:hyperlink r:id="rId7" w:anchor="sthash.IugL1Rwm.dpuf" w:history="1">
        <w:r w:rsidRPr="000E545D">
          <w:rPr>
            <w:rStyle w:val="Hyperlink"/>
            <w:rFonts w:cstheme="minorHAnsi"/>
            <w:lang w:val="en-US"/>
          </w:rPr>
          <w:t>http://pilladvised.com/2014/03/good-gut-bacteria-help-fight-infection/#sthash.IugL1Rwm.dpuf</w:t>
        </w:r>
      </w:hyperlink>
    </w:p>
  </w:footnote>
  <w:footnote w:id="21">
    <w:p w:rsidR="005B7BAC" w:rsidRPr="000E545D" w:rsidRDefault="005B7BAC" w:rsidP="00701869">
      <w:pPr>
        <w:shd w:val="clear" w:color="auto" w:fill="FFFFFF"/>
        <w:spacing w:after="0" w:line="240" w:lineRule="auto"/>
        <w:outlineLvl w:val="1"/>
        <w:rPr>
          <w:rFonts w:cstheme="minorHAnsi"/>
        </w:rPr>
      </w:pPr>
      <w:r w:rsidRPr="000E545D">
        <w:rPr>
          <w:rStyle w:val="FootnoteReference"/>
          <w:rFonts w:cstheme="minorHAnsi"/>
          <w:sz w:val="20"/>
          <w:szCs w:val="20"/>
        </w:rPr>
        <w:footnoteRef/>
      </w:r>
      <w:r w:rsidRPr="000E545D">
        <w:rPr>
          <w:rFonts w:cstheme="minorHAnsi"/>
          <w:sz w:val="20"/>
          <w:szCs w:val="20"/>
        </w:rPr>
        <w:t xml:space="preserve"> </w:t>
      </w:r>
      <w:r w:rsidRPr="000E545D">
        <w:rPr>
          <w:rStyle w:val="person"/>
          <w:rFonts w:cstheme="minorHAnsi"/>
          <w:sz w:val="20"/>
          <w:szCs w:val="20"/>
          <w:lang w:val="en"/>
        </w:rPr>
        <w:t xml:space="preserve">Leon E. Hugo, Jason A. L. </w:t>
      </w:r>
      <w:proofErr w:type="spellStart"/>
      <w:r w:rsidRPr="000E545D">
        <w:rPr>
          <w:rStyle w:val="person"/>
          <w:rFonts w:cstheme="minorHAnsi"/>
          <w:sz w:val="20"/>
          <w:szCs w:val="20"/>
          <w:lang w:val="en"/>
        </w:rPr>
        <w:t>Jeffery,Brendan</w:t>
      </w:r>
      <w:proofErr w:type="spellEnd"/>
      <w:r w:rsidRPr="000E545D">
        <w:rPr>
          <w:rStyle w:val="person"/>
          <w:rFonts w:cstheme="minorHAnsi"/>
          <w:sz w:val="20"/>
          <w:szCs w:val="20"/>
          <w:lang w:val="en"/>
        </w:rPr>
        <w:t xml:space="preserve"> J. </w:t>
      </w:r>
      <w:proofErr w:type="spellStart"/>
      <w:r w:rsidRPr="000E545D">
        <w:rPr>
          <w:rStyle w:val="person"/>
          <w:rFonts w:cstheme="minorHAnsi"/>
          <w:sz w:val="20"/>
          <w:szCs w:val="20"/>
          <w:lang w:val="en"/>
        </w:rPr>
        <w:t>Trewin</w:t>
      </w:r>
      <w:proofErr w:type="spellEnd"/>
      <w:r w:rsidRPr="000E545D">
        <w:rPr>
          <w:rStyle w:val="person"/>
          <w:rFonts w:cstheme="minorHAnsi"/>
          <w:sz w:val="20"/>
          <w:szCs w:val="20"/>
          <w:lang w:val="en"/>
        </w:rPr>
        <w:t xml:space="preserve">, </w:t>
      </w:r>
      <w:proofErr w:type="spellStart"/>
      <w:r w:rsidRPr="000E545D">
        <w:rPr>
          <w:rStyle w:val="person"/>
          <w:rFonts w:cstheme="minorHAnsi"/>
          <w:sz w:val="20"/>
          <w:szCs w:val="20"/>
          <w:lang w:val="en"/>
        </w:rPr>
        <w:t>Leesa</w:t>
      </w:r>
      <w:proofErr w:type="spellEnd"/>
      <w:r w:rsidRPr="000E545D">
        <w:rPr>
          <w:rStyle w:val="person"/>
          <w:rFonts w:cstheme="minorHAnsi"/>
          <w:sz w:val="20"/>
          <w:szCs w:val="20"/>
          <w:lang w:val="en"/>
        </w:rPr>
        <w:t xml:space="preserve"> F. </w:t>
      </w:r>
      <w:proofErr w:type="spellStart"/>
      <w:r w:rsidRPr="000E545D">
        <w:rPr>
          <w:rStyle w:val="person"/>
          <w:rFonts w:cstheme="minorHAnsi"/>
          <w:sz w:val="20"/>
          <w:szCs w:val="20"/>
          <w:lang w:val="en"/>
        </w:rPr>
        <w:t>Wockner</w:t>
      </w:r>
      <w:proofErr w:type="spellEnd"/>
      <w:r w:rsidRPr="000E545D">
        <w:rPr>
          <w:rStyle w:val="person"/>
          <w:rFonts w:cstheme="minorHAnsi"/>
          <w:sz w:val="20"/>
          <w:szCs w:val="20"/>
          <w:lang w:val="en"/>
        </w:rPr>
        <w:t xml:space="preserve">, Nguyen </w:t>
      </w:r>
      <w:proofErr w:type="spellStart"/>
      <w:r w:rsidRPr="000E545D">
        <w:rPr>
          <w:rStyle w:val="person"/>
          <w:rFonts w:cstheme="minorHAnsi"/>
          <w:sz w:val="20"/>
          <w:szCs w:val="20"/>
          <w:lang w:val="en"/>
        </w:rPr>
        <w:t>Thi</w:t>
      </w:r>
      <w:proofErr w:type="spellEnd"/>
      <w:r w:rsidRPr="000E545D">
        <w:rPr>
          <w:rStyle w:val="person"/>
          <w:rFonts w:cstheme="minorHAnsi"/>
          <w:sz w:val="20"/>
          <w:szCs w:val="20"/>
          <w:lang w:val="en"/>
        </w:rPr>
        <w:t xml:space="preserve"> Yen, Nguyen Hoang Le, Le </w:t>
      </w:r>
      <w:proofErr w:type="spellStart"/>
      <w:r w:rsidRPr="000E545D">
        <w:rPr>
          <w:rStyle w:val="person"/>
          <w:rFonts w:cstheme="minorHAnsi"/>
          <w:sz w:val="20"/>
          <w:szCs w:val="20"/>
          <w:lang w:val="en"/>
        </w:rPr>
        <w:t>Trung</w:t>
      </w:r>
      <w:proofErr w:type="spellEnd"/>
      <w:r w:rsidRPr="000E545D">
        <w:rPr>
          <w:rStyle w:val="person"/>
          <w:rFonts w:cstheme="minorHAnsi"/>
          <w:sz w:val="20"/>
          <w:szCs w:val="20"/>
          <w:lang w:val="en"/>
        </w:rPr>
        <w:t xml:space="preserve"> </w:t>
      </w:r>
      <w:proofErr w:type="spellStart"/>
      <w:r w:rsidRPr="000E545D">
        <w:rPr>
          <w:rStyle w:val="person"/>
          <w:rFonts w:cstheme="minorHAnsi"/>
          <w:sz w:val="20"/>
          <w:szCs w:val="20"/>
          <w:lang w:val="en"/>
        </w:rPr>
        <w:t>Nghia</w:t>
      </w:r>
      <w:proofErr w:type="spellEnd"/>
      <w:r w:rsidRPr="000E545D">
        <w:rPr>
          <w:rStyle w:val="person"/>
          <w:rFonts w:cstheme="minorHAnsi"/>
          <w:sz w:val="20"/>
          <w:szCs w:val="20"/>
          <w:lang w:val="en"/>
        </w:rPr>
        <w:t xml:space="preserve">, Emma Hine, Peter A. Ryan, Brian H. Kay, </w:t>
      </w:r>
      <w:r w:rsidRPr="000E545D">
        <w:rPr>
          <w:rFonts w:cstheme="minorHAnsi"/>
          <w:kern w:val="36"/>
          <w:sz w:val="20"/>
          <w:szCs w:val="20"/>
          <w:lang w:val="en"/>
        </w:rPr>
        <w:t xml:space="preserve">“Adult Survivorship of the Dengue Mosquito </w:t>
      </w:r>
      <w:proofErr w:type="spellStart"/>
      <w:r w:rsidRPr="000E545D">
        <w:rPr>
          <w:rFonts w:cstheme="minorHAnsi"/>
          <w:i/>
          <w:iCs/>
          <w:kern w:val="36"/>
          <w:sz w:val="20"/>
          <w:szCs w:val="20"/>
          <w:lang w:val="en"/>
        </w:rPr>
        <w:t>Aedes</w:t>
      </w:r>
      <w:proofErr w:type="spellEnd"/>
      <w:r w:rsidRPr="000E545D">
        <w:rPr>
          <w:rFonts w:cstheme="minorHAnsi"/>
          <w:i/>
          <w:iCs/>
          <w:kern w:val="36"/>
          <w:sz w:val="20"/>
          <w:szCs w:val="20"/>
          <w:lang w:val="en"/>
        </w:rPr>
        <w:t xml:space="preserve"> </w:t>
      </w:r>
      <w:proofErr w:type="spellStart"/>
      <w:r w:rsidRPr="000E545D">
        <w:rPr>
          <w:rFonts w:cstheme="minorHAnsi"/>
          <w:i/>
          <w:iCs/>
          <w:kern w:val="36"/>
          <w:sz w:val="20"/>
          <w:szCs w:val="20"/>
          <w:lang w:val="en"/>
        </w:rPr>
        <w:t>aegypti</w:t>
      </w:r>
      <w:proofErr w:type="spellEnd"/>
      <w:r w:rsidRPr="000E545D">
        <w:rPr>
          <w:rFonts w:cstheme="minorHAnsi"/>
          <w:kern w:val="36"/>
          <w:sz w:val="20"/>
          <w:szCs w:val="20"/>
          <w:lang w:val="en"/>
        </w:rPr>
        <w:t xml:space="preserve"> Varies Seasonally in Central Vietnam”, </w:t>
      </w:r>
      <w:r w:rsidRPr="000E545D">
        <w:rPr>
          <w:rFonts w:cstheme="minorHAnsi"/>
          <w:i/>
          <w:sz w:val="20"/>
          <w:szCs w:val="20"/>
        </w:rPr>
        <w:t>PLOS Neglected Tropical Diseases</w:t>
      </w:r>
      <w:r w:rsidRPr="000E545D">
        <w:rPr>
          <w:rFonts w:eastAsia="Times New Roman" w:cstheme="minorHAnsi"/>
          <w:sz w:val="20"/>
          <w:szCs w:val="20"/>
        </w:rPr>
        <w:t xml:space="preserve">, </w:t>
      </w:r>
      <w:r w:rsidRPr="000E545D">
        <w:rPr>
          <w:rFonts w:cstheme="minorHAnsi"/>
          <w:sz w:val="20"/>
          <w:szCs w:val="20"/>
          <w:lang w:val="en"/>
        </w:rPr>
        <w:t>February 13, 2014. DOI: 10.1371/journal.pntd.0002669</w:t>
      </w:r>
    </w:p>
  </w:footnote>
  <w:footnote w:id="22">
    <w:p w:rsidR="005B7BAC" w:rsidRPr="000E545D" w:rsidRDefault="005B7BAC" w:rsidP="003F4370">
      <w:pPr>
        <w:pStyle w:val="FootnoteText"/>
        <w:rPr>
          <w:rFonts w:cstheme="minorHAnsi"/>
        </w:rPr>
      </w:pPr>
      <w:r w:rsidRPr="000E545D">
        <w:rPr>
          <w:rStyle w:val="FootnoteReference"/>
          <w:rFonts w:cstheme="minorHAnsi"/>
        </w:rPr>
        <w:footnoteRef/>
      </w:r>
      <w:r w:rsidRPr="000E545D">
        <w:rPr>
          <w:rFonts w:cstheme="minorHAnsi"/>
        </w:rPr>
        <w:t xml:space="preserve"> Sanofi has invested over ($US1.38 billion) in research and development over two decades, and has prepared a dedicated production plant outside Lyon. This will have a capacity of up to 100 million doses per year from late 2017.</w:t>
      </w:r>
    </w:p>
  </w:footnote>
  <w:footnote w:id="23">
    <w:p w:rsidR="005B7BAC" w:rsidRPr="000E545D" w:rsidRDefault="005B7BAC" w:rsidP="003F4370">
      <w:pPr>
        <w:pStyle w:val="FootnoteText"/>
        <w:rPr>
          <w:rFonts w:cstheme="minorHAnsi"/>
        </w:rPr>
      </w:pPr>
      <w:r w:rsidRPr="000E545D">
        <w:rPr>
          <w:rStyle w:val="FootnoteReference"/>
          <w:rFonts w:cstheme="minorHAnsi"/>
        </w:rPr>
        <w:footnoteRef/>
      </w:r>
      <w:r w:rsidRPr="000E545D">
        <w:rPr>
          <w:rFonts w:cstheme="minorHAnsi"/>
        </w:rPr>
        <w:t xml:space="preserve"> </w:t>
      </w:r>
      <w:proofErr w:type="spellStart"/>
      <w:r w:rsidRPr="000E545D">
        <w:rPr>
          <w:rFonts w:cstheme="minorHAnsi"/>
        </w:rPr>
        <w:t>eg</w:t>
      </w:r>
      <w:proofErr w:type="spellEnd"/>
      <w:r w:rsidRPr="000E545D">
        <w:rPr>
          <w:rFonts w:cstheme="minorHAnsi"/>
        </w:rPr>
        <w:t xml:space="preserve"> Middle East respiratory syndrome-novel coronavirus, or MERS-CoV</w:t>
      </w:r>
    </w:p>
  </w:footnote>
  <w:footnote w:id="24">
    <w:p w:rsidR="005B7BAC" w:rsidRPr="000E545D" w:rsidRDefault="005B7BAC" w:rsidP="005857D3">
      <w:pPr>
        <w:pStyle w:val="FootnoteText"/>
        <w:rPr>
          <w:rFonts w:cstheme="minorHAnsi"/>
        </w:rPr>
      </w:pPr>
      <w:r w:rsidRPr="000E545D">
        <w:rPr>
          <w:rStyle w:val="FootnoteReference"/>
          <w:rFonts w:cstheme="minorHAnsi"/>
        </w:rPr>
        <w:footnoteRef/>
      </w:r>
      <w:r w:rsidRPr="000E545D">
        <w:rPr>
          <w:rFonts w:cstheme="minorHAnsi"/>
        </w:rPr>
        <w:t xml:space="preserve"> It was recognized some of these could have been dengue.</w:t>
      </w:r>
    </w:p>
  </w:footnote>
  <w:footnote w:id="25">
    <w:p w:rsidR="005B7BAC" w:rsidRPr="000E545D" w:rsidRDefault="005B7BAC" w:rsidP="005857D3">
      <w:pPr>
        <w:pStyle w:val="FootnoteText"/>
        <w:rPr>
          <w:rFonts w:cstheme="minorHAnsi"/>
        </w:rPr>
      </w:pPr>
      <w:r w:rsidRPr="000E545D">
        <w:rPr>
          <w:rStyle w:val="FootnoteReference"/>
          <w:rFonts w:cstheme="minorHAnsi"/>
        </w:rPr>
        <w:footnoteRef/>
      </w:r>
      <w:r w:rsidRPr="000E545D">
        <w:rPr>
          <w:rFonts w:cstheme="minorHAnsi"/>
        </w:rPr>
        <w:t xml:space="preserve"> People can become infected during burial ceremonies involving close contact with the </w:t>
      </w:r>
      <w:proofErr w:type="gramStart"/>
      <w:r w:rsidRPr="000E545D">
        <w:rPr>
          <w:rFonts w:cstheme="minorHAnsi"/>
        </w:rPr>
        <w:t>bodies</w:t>
      </w:r>
      <w:proofErr w:type="gramEnd"/>
      <w:r w:rsidRPr="000E545D">
        <w:rPr>
          <w:rFonts w:cstheme="minorHAnsi"/>
        </w:rPr>
        <w:t xml:space="preserve"> </w:t>
      </w:r>
      <w:proofErr w:type="spellStart"/>
      <w:r w:rsidRPr="000E545D">
        <w:rPr>
          <w:rFonts w:cstheme="minorHAnsi"/>
        </w:rPr>
        <w:t>ofEbola</w:t>
      </w:r>
      <w:proofErr w:type="spellEnd"/>
      <w:r w:rsidRPr="000E545D">
        <w:rPr>
          <w:rFonts w:cstheme="minorHAnsi"/>
        </w:rPr>
        <w:t xml:space="preserve"> victims.</w:t>
      </w:r>
    </w:p>
  </w:footnote>
  <w:footnote w:id="26">
    <w:p w:rsidR="005B7BAC" w:rsidRPr="000E545D" w:rsidRDefault="005B7BAC" w:rsidP="005857D3">
      <w:pPr>
        <w:pStyle w:val="FootnoteText"/>
        <w:rPr>
          <w:rFonts w:cstheme="minorHAnsi"/>
        </w:rPr>
      </w:pPr>
      <w:r w:rsidRPr="000E545D">
        <w:rPr>
          <w:rStyle w:val="FootnoteReference"/>
          <w:rFonts w:cstheme="minorHAnsi"/>
        </w:rPr>
        <w:footnoteRef/>
      </w:r>
      <w:r w:rsidRPr="000E545D">
        <w:rPr>
          <w:rFonts w:cstheme="minorHAnsi"/>
        </w:rPr>
        <w:t xml:space="preserve"> From 181 new patients diagnosed with MDR TB and 288 under treatment for it in 2011, the figure rose to 2195 new patients diagnosed with MDR TB and 1935 under treatment the next year. In 2013, 2903 patients were diagnosed with MDR TB and 2604 were on treatment.</w:t>
      </w:r>
    </w:p>
  </w:footnote>
  <w:footnote w:id="27">
    <w:p w:rsidR="005B7BAC" w:rsidRPr="000E545D" w:rsidRDefault="005B7BAC" w:rsidP="00303345">
      <w:pPr>
        <w:spacing w:after="0"/>
        <w:rPr>
          <w:rFonts w:cstheme="minorHAnsi"/>
          <w:sz w:val="20"/>
          <w:szCs w:val="20"/>
        </w:rPr>
      </w:pPr>
      <w:r w:rsidRPr="000E545D">
        <w:rPr>
          <w:rStyle w:val="FootnoteReference"/>
          <w:rFonts w:cstheme="minorHAnsi"/>
          <w:sz w:val="20"/>
          <w:szCs w:val="20"/>
        </w:rPr>
        <w:footnoteRef/>
      </w:r>
      <w:r w:rsidRPr="000E545D">
        <w:rPr>
          <w:rFonts w:cstheme="minorHAnsi"/>
          <w:sz w:val="20"/>
          <w:szCs w:val="20"/>
        </w:rPr>
        <w:t xml:space="preserve"> </w:t>
      </w:r>
      <w:r w:rsidRPr="000E545D">
        <w:rPr>
          <w:rStyle w:val="HTMLCite"/>
          <w:rFonts w:cstheme="minorHAnsi"/>
          <w:sz w:val="20"/>
          <w:szCs w:val="20"/>
          <w:lang w:val="en"/>
        </w:rPr>
        <w:t xml:space="preserve">BMJ </w:t>
      </w:r>
      <w:r w:rsidRPr="000E545D">
        <w:rPr>
          <w:rStyle w:val="slug-pub-date-pop"/>
          <w:rFonts w:cstheme="minorHAnsi"/>
          <w:i/>
          <w:iCs/>
          <w:sz w:val="20"/>
          <w:szCs w:val="20"/>
          <w:lang w:val="en"/>
        </w:rPr>
        <w:t>2014;</w:t>
      </w:r>
      <w:r w:rsidRPr="000E545D">
        <w:rPr>
          <w:rStyle w:val="HTMLCite"/>
          <w:rFonts w:cstheme="minorHAnsi"/>
          <w:sz w:val="20"/>
          <w:szCs w:val="20"/>
          <w:lang w:val="en"/>
        </w:rPr>
        <w:t xml:space="preserve"> </w:t>
      </w:r>
      <w:r w:rsidRPr="000E545D">
        <w:rPr>
          <w:rStyle w:val="pop-slug-vol"/>
          <w:rFonts w:cstheme="minorHAnsi"/>
          <w:i/>
          <w:iCs/>
          <w:sz w:val="20"/>
          <w:szCs w:val="20"/>
          <w:lang w:val="en"/>
        </w:rPr>
        <w:t>348</w:t>
      </w:r>
      <w:r w:rsidRPr="000E545D">
        <w:rPr>
          <w:rStyle w:val="HTMLCite"/>
          <w:rFonts w:cstheme="minorHAnsi"/>
          <w:sz w:val="20"/>
          <w:szCs w:val="20"/>
          <w:lang w:val="en"/>
        </w:rPr>
        <w:t xml:space="preserve"> </w:t>
      </w:r>
      <w:proofErr w:type="spellStart"/>
      <w:r w:rsidRPr="000E545D">
        <w:rPr>
          <w:rStyle w:val="slug-doi"/>
          <w:rFonts w:cstheme="minorHAnsi"/>
          <w:i/>
          <w:iCs/>
          <w:sz w:val="20"/>
          <w:szCs w:val="20"/>
          <w:lang w:val="en"/>
        </w:rPr>
        <w:t>doi</w:t>
      </w:r>
      <w:proofErr w:type="spellEnd"/>
      <w:r w:rsidRPr="000E545D">
        <w:rPr>
          <w:rStyle w:val="slug-doi"/>
          <w:rFonts w:cstheme="minorHAnsi"/>
          <w:i/>
          <w:iCs/>
          <w:sz w:val="20"/>
          <w:szCs w:val="20"/>
          <w:lang w:val="en"/>
        </w:rPr>
        <w:t>: http://dx.doi.org/10.1136/bmj.g2425</w:t>
      </w:r>
      <w:r w:rsidRPr="000E545D">
        <w:rPr>
          <w:rStyle w:val="HTMLCite"/>
          <w:rFonts w:cstheme="minorHAnsi"/>
          <w:sz w:val="20"/>
          <w:szCs w:val="20"/>
          <w:lang w:val="en"/>
        </w:rPr>
        <w:t xml:space="preserve"> </w:t>
      </w:r>
      <w:r w:rsidRPr="000E545D">
        <w:rPr>
          <w:rStyle w:val="slug-ahead-of-print-date"/>
          <w:rFonts w:cstheme="minorHAnsi"/>
          <w:i/>
          <w:iCs/>
          <w:sz w:val="20"/>
          <w:szCs w:val="20"/>
          <w:lang w:val="en"/>
        </w:rPr>
        <w:t>(Published 28 March 2014)</w:t>
      </w:r>
      <w:r w:rsidRPr="000E545D">
        <w:rPr>
          <w:rStyle w:val="HTMLCite"/>
          <w:rFonts w:cstheme="minorHAnsi"/>
          <w:sz w:val="20"/>
          <w:szCs w:val="20"/>
          <w:lang w:val="en"/>
        </w:rPr>
        <w:t xml:space="preserve"> </w:t>
      </w:r>
      <w:r w:rsidRPr="000E545D">
        <w:rPr>
          <w:rStyle w:val="pop-cite"/>
          <w:rFonts w:cstheme="minorHAnsi"/>
          <w:i/>
          <w:iCs/>
          <w:sz w:val="20"/>
          <w:szCs w:val="20"/>
          <w:lang w:val="en"/>
        </w:rPr>
        <w:t>Cite this as:</w:t>
      </w:r>
      <w:r w:rsidRPr="000E545D">
        <w:rPr>
          <w:rFonts w:cstheme="minorHAnsi"/>
          <w:i/>
          <w:iCs/>
          <w:sz w:val="20"/>
          <w:szCs w:val="20"/>
          <w:lang w:val="en"/>
        </w:rPr>
        <w:t xml:space="preserve"> BMJ </w:t>
      </w:r>
      <w:r w:rsidRPr="000E545D">
        <w:rPr>
          <w:rStyle w:val="slug-pop-date"/>
          <w:rFonts w:cstheme="minorHAnsi"/>
          <w:i/>
          <w:iCs/>
          <w:sz w:val="20"/>
          <w:szCs w:val="20"/>
          <w:lang w:val="en"/>
        </w:rPr>
        <w:t>2014;</w:t>
      </w:r>
      <w:r w:rsidRPr="000E545D">
        <w:rPr>
          <w:rStyle w:val="pop-slug"/>
          <w:rFonts w:cstheme="minorHAnsi"/>
          <w:i/>
          <w:iCs/>
          <w:sz w:val="20"/>
          <w:szCs w:val="20"/>
          <w:lang w:val="en"/>
        </w:rPr>
        <w:t>348:g2425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m.ph-cdn.com/tmpl/v4/img/1x1.gif" style="width:.75pt;height:.75pt;visibility:visible;mso-wrap-style:square" o:bullet="t">
        <v:imagedata r:id="rId1" o:title="1x1"/>
      </v:shape>
    </w:pict>
  </w:numPicBullet>
  <w:abstractNum w:abstractNumId="0">
    <w:nsid w:val="00A44BEB"/>
    <w:multiLevelType w:val="multilevel"/>
    <w:tmpl w:val="FE64E73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76CC1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D63D2A"/>
    <w:multiLevelType w:val="multilevel"/>
    <w:tmpl w:val="42E6D2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5920DA"/>
    <w:multiLevelType w:val="multilevel"/>
    <w:tmpl w:val="0EE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C5D77"/>
    <w:multiLevelType w:val="multilevel"/>
    <w:tmpl w:val="B07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17D40"/>
    <w:multiLevelType w:val="multilevel"/>
    <w:tmpl w:val="EDBAB3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95A41AD"/>
    <w:multiLevelType w:val="multilevel"/>
    <w:tmpl w:val="A678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451C6"/>
    <w:multiLevelType w:val="multilevel"/>
    <w:tmpl w:val="AB62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E3446"/>
    <w:multiLevelType w:val="multilevel"/>
    <w:tmpl w:val="40DA6E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511D99"/>
    <w:multiLevelType w:val="multilevel"/>
    <w:tmpl w:val="6AE8B320"/>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406379"/>
    <w:multiLevelType w:val="multilevel"/>
    <w:tmpl w:val="4CFCC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2445F2"/>
    <w:multiLevelType w:val="multilevel"/>
    <w:tmpl w:val="4140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90E52"/>
    <w:multiLevelType w:val="multilevel"/>
    <w:tmpl w:val="B94C3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2434D4"/>
    <w:multiLevelType w:val="multilevel"/>
    <w:tmpl w:val="42E6D2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14654BB"/>
    <w:multiLevelType w:val="multilevel"/>
    <w:tmpl w:val="66CCFC2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6B1491"/>
    <w:multiLevelType w:val="multilevel"/>
    <w:tmpl w:val="7C36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A10BC7"/>
    <w:multiLevelType w:val="multilevel"/>
    <w:tmpl w:val="F8CC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D7BF3"/>
    <w:multiLevelType w:val="multilevel"/>
    <w:tmpl w:val="A006B6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BC05CA8"/>
    <w:multiLevelType w:val="multilevel"/>
    <w:tmpl w:val="B4C6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05271"/>
    <w:multiLevelType w:val="multilevel"/>
    <w:tmpl w:val="1A9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43193"/>
    <w:multiLevelType w:val="multilevel"/>
    <w:tmpl w:val="7FAE9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D40561"/>
    <w:multiLevelType w:val="multilevel"/>
    <w:tmpl w:val="9EE0A250"/>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F166E1"/>
    <w:multiLevelType w:val="multilevel"/>
    <w:tmpl w:val="2F506BC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5A7F43"/>
    <w:multiLevelType w:val="multilevel"/>
    <w:tmpl w:val="6A1ADBF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D5501A"/>
    <w:multiLevelType w:val="multilevel"/>
    <w:tmpl w:val="59720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5EC61DF"/>
    <w:multiLevelType w:val="multilevel"/>
    <w:tmpl w:val="CD4C968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D06469B"/>
    <w:multiLevelType w:val="hybridMultilevel"/>
    <w:tmpl w:val="EAC62B66"/>
    <w:lvl w:ilvl="0" w:tplc="2C60DDE8">
      <w:start w:val="1"/>
      <w:numFmt w:val="bullet"/>
      <w:lvlText w:val=""/>
      <w:lvlPicBulletId w:val="0"/>
      <w:lvlJc w:val="left"/>
      <w:pPr>
        <w:tabs>
          <w:tab w:val="num" w:pos="720"/>
        </w:tabs>
        <w:ind w:left="720" w:hanging="360"/>
      </w:pPr>
      <w:rPr>
        <w:rFonts w:ascii="Symbol" w:hAnsi="Symbol" w:hint="default"/>
      </w:rPr>
    </w:lvl>
    <w:lvl w:ilvl="1" w:tplc="AF9A4774" w:tentative="1">
      <w:start w:val="1"/>
      <w:numFmt w:val="bullet"/>
      <w:lvlText w:val=""/>
      <w:lvlJc w:val="left"/>
      <w:pPr>
        <w:tabs>
          <w:tab w:val="num" w:pos="1440"/>
        </w:tabs>
        <w:ind w:left="1440" w:hanging="360"/>
      </w:pPr>
      <w:rPr>
        <w:rFonts w:ascii="Symbol" w:hAnsi="Symbol" w:hint="default"/>
      </w:rPr>
    </w:lvl>
    <w:lvl w:ilvl="2" w:tplc="C1C66CBC" w:tentative="1">
      <w:start w:val="1"/>
      <w:numFmt w:val="bullet"/>
      <w:lvlText w:val=""/>
      <w:lvlJc w:val="left"/>
      <w:pPr>
        <w:tabs>
          <w:tab w:val="num" w:pos="2160"/>
        </w:tabs>
        <w:ind w:left="2160" w:hanging="360"/>
      </w:pPr>
      <w:rPr>
        <w:rFonts w:ascii="Symbol" w:hAnsi="Symbol" w:hint="default"/>
      </w:rPr>
    </w:lvl>
    <w:lvl w:ilvl="3" w:tplc="FC7E2F7C" w:tentative="1">
      <w:start w:val="1"/>
      <w:numFmt w:val="bullet"/>
      <w:lvlText w:val=""/>
      <w:lvlJc w:val="left"/>
      <w:pPr>
        <w:tabs>
          <w:tab w:val="num" w:pos="2880"/>
        </w:tabs>
        <w:ind w:left="2880" w:hanging="360"/>
      </w:pPr>
      <w:rPr>
        <w:rFonts w:ascii="Symbol" w:hAnsi="Symbol" w:hint="default"/>
      </w:rPr>
    </w:lvl>
    <w:lvl w:ilvl="4" w:tplc="27C406F0" w:tentative="1">
      <w:start w:val="1"/>
      <w:numFmt w:val="bullet"/>
      <w:lvlText w:val=""/>
      <w:lvlJc w:val="left"/>
      <w:pPr>
        <w:tabs>
          <w:tab w:val="num" w:pos="3600"/>
        </w:tabs>
        <w:ind w:left="3600" w:hanging="360"/>
      </w:pPr>
      <w:rPr>
        <w:rFonts w:ascii="Symbol" w:hAnsi="Symbol" w:hint="default"/>
      </w:rPr>
    </w:lvl>
    <w:lvl w:ilvl="5" w:tplc="A5B460F2" w:tentative="1">
      <w:start w:val="1"/>
      <w:numFmt w:val="bullet"/>
      <w:lvlText w:val=""/>
      <w:lvlJc w:val="left"/>
      <w:pPr>
        <w:tabs>
          <w:tab w:val="num" w:pos="4320"/>
        </w:tabs>
        <w:ind w:left="4320" w:hanging="360"/>
      </w:pPr>
      <w:rPr>
        <w:rFonts w:ascii="Symbol" w:hAnsi="Symbol" w:hint="default"/>
      </w:rPr>
    </w:lvl>
    <w:lvl w:ilvl="6" w:tplc="97F64562" w:tentative="1">
      <w:start w:val="1"/>
      <w:numFmt w:val="bullet"/>
      <w:lvlText w:val=""/>
      <w:lvlJc w:val="left"/>
      <w:pPr>
        <w:tabs>
          <w:tab w:val="num" w:pos="5040"/>
        </w:tabs>
        <w:ind w:left="5040" w:hanging="360"/>
      </w:pPr>
      <w:rPr>
        <w:rFonts w:ascii="Symbol" w:hAnsi="Symbol" w:hint="default"/>
      </w:rPr>
    </w:lvl>
    <w:lvl w:ilvl="7" w:tplc="2F88E4EC" w:tentative="1">
      <w:start w:val="1"/>
      <w:numFmt w:val="bullet"/>
      <w:lvlText w:val=""/>
      <w:lvlJc w:val="left"/>
      <w:pPr>
        <w:tabs>
          <w:tab w:val="num" w:pos="5760"/>
        </w:tabs>
        <w:ind w:left="5760" w:hanging="360"/>
      </w:pPr>
      <w:rPr>
        <w:rFonts w:ascii="Symbol" w:hAnsi="Symbol" w:hint="default"/>
      </w:rPr>
    </w:lvl>
    <w:lvl w:ilvl="8" w:tplc="E716D54A" w:tentative="1">
      <w:start w:val="1"/>
      <w:numFmt w:val="bullet"/>
      <w:lvlText w:val=""/>
      <w:lvlJc w:val="left"/>
      <w:pPr>
        <w:tabs>
          <w:tab w:val="num" w:pos="6480"/>
        </w:tabs>
        <w:ind w:left="6480" w:hanging="360"/>
      </w:pPr>
      <w:rPr>
        <w:rFonts w:ascii="Symbol" w:hAnsi="Symbol" w:hint="default"/>
      </w:rPr>
    </w:lvl>
  </w:abstractNum>
  <w:abstractNum w:abstractNumId="29">
    <w:nsid w:val="761B2F6D"/>
    <w:multiLevelType w:val="multilevel"/>
    <w:tmpl w:val="E46A46C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1"/>
  </w:num>
  <w:num w:numId="7">
    <w:abstractNumId w:val="2"/>
  </w:num>
  <w:num w:numId="8">
    <w:abstractNumId w:val="27"/>
  </w:num>
  <w:num w:numId="9">
    <w:abstractNumId w:val="15"/>
  </w:num>
  <w:num w:numId="10">
    <w:abstractNumId w:val="1"/>
  </w:num>
  <w:num w:numId="11">
    <w:abstractNumId w:val="16"/>
  </w:num>
  <w:num w:numId="12">
    <w:abstractNumId w:val="10"/>
  </w:num>
  <w:num w:numId="13">
    <w:abstractNumId w:val="14"/>
  </w:num>
  <w:num w:numId="14">
    <w:abstractNumId w:val="28"/>
  </w:num>
  <w:num w:numId="15">
    <w:abstractNumId w:val="4"/>
  </w:num>
  <w:num w:numId="16">
    <w:abstractNumId w:val="18"/>
  </w:num>
  <w:num w:numId="17">
    <w:abstractNumId w:val="17"/>
  </w:num>
  <w:num w:numId="18">
    <w:abstractNumId w:val="7"/>
  </w:num>
  <w:num w:numId="19">
    <w:abstractNumId w:val="26"/>
  </w:num>
  <w:num w:numId="20">
    <w:abstractNumId w:val="22"/>
  </w:num>
  <w:num w:numId="21">
    <w:abstractNumId w:val="5"/>
  </w:num>
  <w:num w:numId="22">
    <w:abstractNumId w:val="0"/>
  </w:num>
  <w:num w:numId="23">
    <w:abstractNumId w:val="25"/>
  </w:num>
  <w:num w:numId="24">
    <w:abstractNumId w:val="24"/>
  </w:num>
  <w:num w:numId="25">
    <w:abstractNumId w:val="29"/>
  </w:num>
  <w:num w:numId="26">
    <w:abstractNumId w:val="13"/>
  </w:num>
  <w:num w:numId="27">
    <w:abstractNumId w:val="8"/>
  </w:num>
  <w:num w:numId="28">
    <w:abstractNumId w:val="6"/>
  </w:num>
  <w:num w:numId="29">
    <w:abstractNumId w:val="21"/>
  </w:num>
  <w:num w:numId="30">
    <w:abstractNumId w:val="20"/>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14519"/>
    <w:rsid w:val="0001493C"/>
    <w:rsid w:val="0002531E"/>
    <w:rsid w:val="00032145"/>
    <w:rsid w:val="00035948"/>
    <w:rsid w:val="000405AD"/>
    <w:rsid w:val="00040C58"/>
    <w:rsid w:val="00045505"/>
    <w:rsid w:val="00050701"/>
    <w:rsid w:val="00051A93"/>
    <w:rsid w:val="000541C4"/>
    <w:rsid w:val="000541D3"/>
    <w:rsid w:val="0005682D"/>
    <w:rsid w:val="00060EFD"/>
    <w:rsid w:val="00063BDF"/>
    <w:rsid w:val="00070B29"/>
    <w:rsid w:val="00070D1A"/>
    <w:rsid w:val="00072868"/>
    <w:rsid w:val="00080C8A"/>
    <w:rsid w:val="0009107E"/>
    <w:rsid w:val="00096C54"/>
    <w:rsid w:val="000A649B"/>
    <w:rsid w:val="000B0252"/>
    <w:rsid w:val="000B0BC7"/>
    <w:rsid w:val="000B0BE8"/>
    <w:rsid w:val="000B3567"/>
    <w:rsid w:val="000B482B"/>
    <w:rsid w:val="000B4F98"/>
    <w:rsid w:val="000D66AC"/>
    <w:rsid w:val="000D6904"/>
    <w:rsid w:val="000D7F41"/>
    <w:rsid w:val="000E545D"/>
    <w:rsid w:val="000F0AFE"/>
    <w:rsid w:val="000F1430"/>
    <w:rsid w:val="000F3CB9"/>
    <w:rsid w:val="00101D6C"/>
    <w:rsid w:val="001073A7"/>
    <w:rsid w:val="00113F3A"/>
    <w:rsid w:val="0011435F"/>
    <w:rsid w:val="00122274"/>
    <w:rsid w:val="001335D1"/>
    <w:rsid w:val="00136017"/>
    <w:rsid w:val="001407A1"/>
    <w:rsid w:val="00142611"/>
    <w:rsid w:val="00145592"/>
    <w:rsid w:val="001505BB"/>
    <w:rsid w:val="00163B0E"/>
    <w:rsid w:val="00176C8F"/>
    <w:rsid w:val="00182E8C"/>
    <w:rsid w:val="0019151B"/>
    <w:rsid w:val="00197990"/>
    <w:rsid w:val="001A20BD"/>
    <w:rsid w:val="001A2F04"/>
    <w:rsid w:val="001A7863"/>
    <w:rsid w:val="001B3309"/>
    <w:rsid w:val="001B716F"/>
    <w:rsid w:val="001C2106"/>
    <w:rsid w:val="001C65D2"/>
    <w:rsid w:val="001D118E"/>
    <w:rsid w:val="001D3B61"/>
    <w:rsid w:val="001E2C64"/>
    <w:rsid w:val="001E6332"/>
    <w:rsid w:val="001F0B9C"/>
    <w:rsid w:val="001F3787"/>
    <w:rsid w:val="001F3A07"/>
    <w:rsid w:val="001F5462"/>
    <w:rsid w:val="00203B63"/>
    <w:rsid w:val="002054E3"/>
    <w:rsid w:val="00215E74"/>
    <w:rsid w:val="00240133"/>
    <w:rsid w:val="002406DE"/>
    <w:rsid w:val="00243392"/>
    <w:rsid w:val="00244F68"/>
    <w:rsid w:val="00253724"/>
    <w:rsid w:val="0026053E"/>
    <w:rsid w:val="00263826"/>
    <w:rsid w:val="002808F1"/>
    <w:rsid w:val="0029237F"/>
    <w:rsid w:val="002928E2"/>
    <w:rsid w:val="00294F0F"/>
    <w:rsid w:val="00295066"/>
    <w:rsid w:val="002A1A5F"/>
    <w:rsid w:val="002A6A9E"/>
    <w:rsid w:val="002B1FE1"/>
    <w:rsid w:val="002B6CE7"/>
    <w:rsid w:val="002C2865"/>
    <w:rsid w:val="002C6BAA"/>
    <w:rsid w:val="002E0F45"/>
    <w:rsid w:val="002E1ADA"/>
    <w:rsid w:val="002E7150"/>
    <w:rsid w:val="002F0F9D"/>
    <w:rsid w:val="002F368D"/>
    <w:rsid w:val="002F4752"/>
    <w:rsid w:val="003019D8"/>
    <w:rsid w:val="00303345"/>
    <w:rsid w:val="003038DE"/>
    <w:rsid w:val="003047AD"/>
    <w:rsid w:val="00314D23"/>
    <w:rsid w:val="00336982"/>
    <w:rsid w:val="003443EE"/>
    <w:rsid w:val="0034749D"/>
    <w:rsid w:val="003606E1"/>
    <w:rsid w:val="00366D27"/>
    <w:rsid w:val="00371FF0"/>
    <w:rsid w:val="003763F5"/>
    <w:rsid w:val="0038522F"/>
    <w:rsid w:val="00395D9E"/>
    <w:rsid w:val="003967AB"/>
    <w:rsid w:val="003A161B"/>
    <w:rsid w:val="003A2B46"/>
    <w:rsid w:val="003B277C"/>
    <w:rsid w:val="003B345B"/>
    <w:rsid w:val="003C5DE6"/>
    <w:rsid w:val="003D1489"/>
    <w:rsid w:val="003D754B"/>
    <w:rsid w:val="003E2DA1"/>
    <w:rsid w:val="003E7D86"/>
    <w:rsid w:val="003F4370"/>
    <w:rsid w:val="0040699F"/>
    <w:rsid w:val="004126ED"/>
    <w:rsid w:val="00413F04"/>
    <w:rsid w:val="0042718E"/>
    <w:rsid w:val="00431822"/>
    <w:rsid w:val="00445230"/>
    <w:rsid w:val="00446464"/>
    <w:rsid w:val="004568C8"/>
    <w:rsid w:val="00457AA6"/>
    <w:rsid w:val="00457D3E"/>
    <w:rsid w:val="00461A9E"/>
    <w:rsid w:val="00461F6F"/>
    <w:rsid w:val="00475647"/>
    <w:rsid w:val="004764C4"/>
    <w:rsid w:val="00483BF8"/>
    <w:rsid w:val="00490CB0"/>
    <w:rsid w:val="004922A0"/>
    <w:rsid w:val="004A3164"/>
    <w:rsid w:val="004B090C"/>
    <w:rsid w:val="004C0163"/>
    <w:rsid w:val="004C5E2B"/>
    <w:rsid w:val="004C5FCC"/>
    <w:rsid w:val="004C78EF"/>
    <w:rsid w:val="004D0377"/>
    <w:rsid w:val="004D3397"/>
    <w:rsid w:val="004D58B4"/>
    <w:rsid w:val="004D7494"/>
    <w:rsid w:val="004E063B"/>
    <w:rsid w:val="00502FAE"/>
    <w:rsid w:val="0050361B"/>
    <w:rsid w:val="005071F5"/>
    <w:rsid w:val="00515490"/>
    <w:rsid w:val="005248CF"/>
    <w:rsid w:val="00524BDD"/>
    <w:rsid w:val="00534B35"/>
    <w:rsid w:val="0054269D"/>
    <w:rsid w:val="005426D7"/>
    <w:rsid w:val="0055355B"/>
    <w:rsid w:val="005535DE"/>
    <w:rsid w:val="0055427C"/>
    <w:rsid w:val="00562CB8"/>
    <w:rsid w:val="005633DD"/>
    <w:rsid w:val="005669C9"/>
    <w:rsid w:val="00570C65"/>
    <w:rsid w:val="00573E00"/>
    <w:rsid w:val="005749B0"/>
    <w:rsid w:val="005857D3"/>
    <w:rsid w:val="00586088"/>
    <w:rsid w:val="00591F4C"/>
    <w:rsid w:val="005A37AD"/>
    <w:rsid w:val="005B41B3"/>
    <w:rsid w:val="005B7BAC"/>
    <w:rsid w:val="005C50B6"/>
    <w:rsid w:val="005C7E43"/>
    <w:rsid w:val="005D269B"/>
    <w:rsid w:val="005D56B3"/>
    <w:rsid w:val="005D5DA5"/>
    <w:rsid w:val="005D640D"/>
    <w:rsid w:val="005D7C6B"/>
    <w:rsid w:val="005E4BDF"/>
    <w:rsid w:val="005F1B47"/>
    <w:rsid w:val="00611094"/>
    <w:rsid w:val="006143BB"/>
    <w:rsid w:val="00617404"/>
    <w:rsid w:val="006255F2"/>
    <w:rsid w:val="00625769"/>
    <w:rsid w:val="006354E4"/>
    <w:rsid w:val="00650C18"/>
    <w:rsid w:val="00666AD2"/>
    <w:rsid w:val="006711C8"/>
    <w:rsid w:val="00674C35"/>
    <w:rsid w:val="0068189D"/>
    <w:rsid w:val="00684CA6"/>
    <w:rsid w:val="006962E7"/>
    <w:rsid w:val="006A01BA"/>
    <w:rsid w:val="006B11CF"/>
    <w:rsid w:val="006B4128"/>
    <w:rsid w:val="006C7CE7"/>
    <w:rsid w:val="006D0365"/>
    <w:rsid w:val="006E3F73"/>
    <w:rsid w:val="006E495D"/>
    <w:rsid w:val="006E7054"/>
    <w:rsid w:val="006F225C"/>
    <w:rsid w:val="006F4993"/>
    <w:rsid w:val="006F521A"/>
    <w:rsid w:val="00701869"/>
    <w:rsid w:val="00702FDC"/>
    <w:rsid w:val="007127F6"/>
    <w:rsid w:val="00714C81"/>
    <w:rsid w:val="00714CF4"/>
    <w:rsid w:val="00736F9C"/>
    <w:rsid w:val="00743A0C"/>
    <w:rsid w:val="00751C35"/>
    <w:rsid w:val="00755685"/>
    <w:rsid w:val="00757A29"/>
    <w:rsid w:val="0077380C"/>
    <w:rsid w:val="0078036C"/>
    <w:rsid w:val="007807E5"/>
    <w:rsid w:val="007934D3"/>
    <w:rsid w:val="007945C5"/>
    <w:rsid w:val="00794EED"/>
    <w:rsid w:val="00795A3B"/>
    <w:rsid w:val="007A61AB"/>
    <w:rsid w:val="007B62CA"/>
    <w:rsid w:val="007B679F"/>
    <w:rsid w:val="007C0A50"/>
    <w:rsid w:val="007C577F"/>
    <w:rsid w:val="007C72ED"/>
    <w:rsid w:val="007D4A5F"/>
    <w:rsid w:val="007D62DC"/>
    <w:rsid w:val="007E3D7A"/>
    <w:rsid w:val="007E5975"/>
    <w:rsid w:val="007E6444"/>
    <w:rsid w:val="007F0517"/>
    <w:rsid w:val="007F12E0"/>
    <w:rsid w:val="00800E6B"/>
    <w:rsid w:val="008057A0"/>
    <w:rsid w:val="00811902"/>
    <w:rsid w:val="00816FAE"/>
    <w:rsid w:val="00817C6C"/>
    <w:rsid w:val="00831C6D"/>
    <w:rsid w:val="00832D11"/>
    <w:rsid w:val="00843738"/>
    <w:rsid w:val="00844088"/>
    <w:rsid w:val="008462BD"/>
    <w:rsid w:val="00850010"/>
    <w:rsid w:val="008528C7"/>
    <w:rsid w:val="0085397E"/>
    <w:rsid w:val="0086241E"/>
    <w:rsid w:val="00865A1D"/>
    <w:rsid w:val="00871B1D"/>
    <w:rsid w:val="00872740"/>
    <w:rsid w:val="00874204"/>
    <w:rsid w:val="0087525E"/>
    <w:rsid w:val="00881135"/>
    <w:rsid w:val="00885451"/>
    <w:rsid w:val="008A05AE"/>
    <w:rsid w:val="008B55AF"/>
    <w:rsid w:val="008C0B3D"/>
    <w:rsid w:val="008C11EE"/>
    <w:rsid w:val="008C197A"/>
    <w:rsid w:val="008D5F3E"/>
    <w:rsid w:val="008D78A4"/>
    <w:rsid w:val="008E6DEA"/>
    <w:rsid w:val="008F20E6"/>
    <w:rsid w:val="008F2E95"/>
    <w:rsid w:val="008F5D9A"/>
    <w:rsid w:val="008F6C74"/>
    <w:rsid w:val="00902167"/>
    <w:rsid w:val="00902DE4"/>
    <w:rsid w:val="00911CE5"/>
    <w:rsid w:val="00913A99"/>
    <w:rsid w:val="0091691A"/>
    <w:rsid w:val="00916DE9"/>
    <w:rsid w:val="00940D3A"/>
    <w:rsid w:val="009438E6"/>
    <w:rsid w:val="009448D7"/>
    <w:rsid w:val="0094731E"/>
    <w:rsid w:val="0097585A"/>
    <w:rsid w:val="009825DB"/>
    <w:rsid w:val="00982FB8"/>
    <w:rsid w:val="00983D75"/>
    <w:rsid w:val="009A343B"/>
    <w:rsid w:val="009C33A4"/>
    <w:rsid w:val="009C3858"/>
    <w:rsid w:val="009E2405"/>
    <w:rsid w:val="009E6DC9"/>
    <w:rsid w:val="009E7F61"/>
    <w:rsid w:val="009F27DC"/>
    <w:rsid w:val="00A003B3"/>
    <w:rsid w:val="00A05E02"/>
    <w:rsid w:val="00A1386A"/>
    <w:rsid w:val="00A14F5B"/>
    <w:rsid w:val="00A150CF"/>
    <w:rsid w:val="00A42E2A"/>
    <w:rsid w:val="00A53E38"/>
    <w:rsid w:val="00A622E0"/>
    <w:rsid w:val="00A63486"/>
    <w:rsid w:val="00A761EE"/>
    <w:rsid w:val="00A82157"/>
    <w:rsid w:val="00A83426"/>
    <w:rsid w:val="00A85355"/>
    <w:rsid w:val="00A90ABD"/>
    <w:rsid w:val="00A90EB9"/>
    <w:rsid w:val="00A92620"/>
    <w:rsid w:val="00A92B68"/>
    <w:rsid w:val="00A9558B"/>
    <w:rsid w:val="00A9721A"/>
    <w:rsid w:val="00AA6AFE"/>
    <w:rsid w:val="00AB5F9E"/>
    <w:rsid w:val="00AB7449"/>
    <w:rsid w:val="00AC0288"/>
    <w:rsid w:val="00AC4BE4"/>
    <w:rsid w:val="00AD2168"/>
    <w:rsid w:val="00AD25F3"/>
    <w:rsid w:val="00AD6C6C"/>
    <w:rsid w:val="00AF1A45"/>
    <w:rsid w:val="00AF3075"/>
    <w:rsid w:val="00B0176B"/>
    <w:rsid w:val="00B050DE"/>
    <w:rsid w:val="00B139C3"/>
    <w:rsid w:val="00B23C7B"/>
    <w:rsid w:val="00B25A8D"/>
    <w:rsid w:val="00B41E28"/>
    <w:rsid w:val="00B43FF7"/>
    <w:rsid w:val="00B53C22"/>
    <w:rsid w:val="00B53E0E"/>
    <w:rsid w:val="00B5418E"/>
    <w:rsid w:val="00B63D95"/>
    <w:rsid w:val="00B71BA9"/>
    <w:rsid w:val="00B75C80"/>
    <w:rsid w:val="00B85F2E"/>
    <w:rsid w:val="00B955BE"/>
    <w:rsid w:val="00B95E25"/>
    <w:rsid w:val="00B95EA9"/>
    <w:rsid w:val="00BA16AC"/>
    <w:rsid w:val="00BA1E9A"/>
    <w:rsid w:val="00BB1F91"/>
    <w:rsid w:val="00BB1FA7"/>
    <w:rsid w:val="00BB39E7"/>
    <w:rsid w:val="00BB3CFE"/>
    <w:rsid w:val="00BC113C"/>
    <w:rsid w:val="00BC1F71"/>
    <w:rsid w:val="00BD1324"/>
    <w:rsid w:val="00BD501C"/>
    <w:rsid w:val="00BF0E30"/>
    <w:rsid w:val="00BF11A9"/>
    <w:rsid w:val="00BF19D2"/>
    <w:rsid w:val="00C016B9"/>
    <w:rsid w:val="00C14613"/>
    <w:rsid w:val="00C23C2F"/>
    <w:rsid w:val="00C24F7C"/>
    <w:rsid w:val="00C3307A"/>
    <w:rsid w:val="00C41466"/>
    <w:rsid w:val="00C431CD"/>
    <w:rsid w:val="00C51AB7"/>
    <w:rsid w:val="00C528DE"/>
    <w:rsid w:val="00C53547"/>
    <w:rsid w:val="00C56DDA"/>
    <w:rsid w:val="00C61096"/>
    <w:rsid w:val="00C6217E"/>
    <w:rsid w:val="00C6562F"/>
    <w:rsid w:val="00C93F60"/>
    <w:rsid w:val="00CA05A1"/>
    <w:rsid w:val="00CA1666"/>
    <w:rsid w:val="00CA3703"/>
    <w:rsid w:val="00CA44D1"/>
    <w:rsid w:val="00CA4D4A"/>
    <w:rsid w:val="00CB0D7F"/>
    <w:rsid w:val="00CB1655"/>
    <w:rsid w:val="00CB5A18"/>
    <w:rsid w:val="00CC0BDD"/>
    <w:rsid w:val="00CC27DB"/>
    <w:rsid w:val="00CC7BBE"/>
    <w:rsid w:val="00CD6AFF"/>
    <w:rsid w:val="00CE1854"/>
    <w:rsid w:val="00CF3A96"/>
    <w:rsid w:val="00CF61D0"/>
    <w:rsid w:val="00D151F6"/>
    <w:rsid w:val="00D15FA2"/>
    <w:rsid w:val="00D1796D"/>
    <w:rsid w:val="00D224CE"/>
    <w:rsid w:val="00D2442F"/>
    <w:rsid w:val="00D31E5C"/>
    <w:rsid w:val="00D3620F"/>
    <w:rsid w:val="00D457D7"/>
    <w:rsid w:val="00D45F73"/>
    <w:rsid w:val="00D466E8"/>
    <w:rsid w:val="00D537A1"/>
    <w:rsid w:val="00D54169"/>
    <w:rsid w:val="00D5724D"/>
    <w:rsid w:val="00D57AA0"/>
    <w:rsid w:val="00D60DA3"/>
    <w:rsid w:val="00D725FC"/>
    <w:rsid w:val="00D728A3"/>
    <w:rsid w:val="00D74DD1"/>
    <w:rsid w:val="00D75D4C"/>
    <w:rsid w:val="00D776C5"/>
    <w:rsid w:val="00D840F0"/>
    <w:rsid w:val="00D93B47"/>
    <w:rsid w:val="00D96383"/>
    <w:rsid w:val="00D966F0"/>
    <w:rsid w:val="00DA5555"/>
    <w:rsid w:val="00DB217B"/>
    <w:rsid w:val="00DB6987"/>
    <w:rsid w:val="00DC597C"/>
    <w:rsid w:val="00DC7F41"/>
    <w:rsid w:val="00DD0040"/>
    <w:rsid w:val="00DD6521"/>
    <w:rsid w:val="00DD6876"/>
    <w:rsid w:val="00DD7283"/>
    <w:rsid w:val="00DE2146"/>
    <w:rsid w:val="00DF531C"/>
    <w:rsid w:val="00DF60DF"/>
    <w:rsid w:val="00E01844"/>
    <w:rsid w:val="00E165CE"/>
    <w:rsid w:val="00E20FB3"/>
    <w:rsid w:val="00E21A1C"/>
    <w:rsid w:val="00E26B70"/>
    <w:rsid w:val="00E463DB"/>
    <w:rsid w:val="00E51564"/>
    <w:rsid w:val="00E655F8"/>
    <w:rsid w:val="00E656CC"/>
    <w:rsid w:val="00E712A0"/>
    <w:rsid w:val="00E75F84"/>
    <w:rsid w:val="00E77736"/>
    <w:rsid w:val="00E804C4"/>
    <w:rsid w:val="00E83E2A"/>
    <w:rsid w:val="00E8463C"/>
    <w:rsid w:val="00E84B71"/>
    <w:rsid w:val="00E93330"/>
    <w:rsid w:val="00E966B1"/>
    <w:rsid w:val="00EC0033"/>
    <w:rsid w:val="00EC7D33"/>
    <w:rsid w:val="00EE1DFE"/>
    <w:rsid w:val="00EE3A05"/>
    <w:rsid w:val="00EE5CAD"/>
    <w:rsid w:val="00EF0C5A"/>
    <w:rsid w:val="00EF5BE6"/>
    <w:rsid w:val="00F00A13"/>
    <w:rsid w:val="00F02757"/>
    <w:rsid w:val="00F07B70"/>
    <w:rsid w:val="00F1159C"/>
    <w:rsid w:val="00F20714"/>
    <w:rsid w:val="00F20B35"/>
    <w:rsid w:val="00F363F9"/>
    <w:rsid w:val="00F37C3A"/>
    <w:rsid w:val="00F4791A"/>
    <w:rsid w:val="00F47E65"/>
    <w:rsid w:val="00F530C7"/>
    <w:rsid w:val="00F7100D"/>
    <w:rsid w:val="00F7499F"/>
    <w:rsid w:val="00F7513C"/>
    <w:rsid w:val="00F77478"/>
    <w:rsid w:val="00F854C5"/>
    <w:rsid w:val="00F93A86"/>
    <w:rsid w:val="00FA09DF"/>
    <w:rsid w:val="00FA4ACC"/>
    <w:rsid w:val="00FA621E"/>
    <w:rsid w:val="00FA7324"/>
    <w:rsid w:val="00FA7E5A"/>
    <w:rsid w:val="00FB718D"/>
    <w:rsid w:val="00FC0969"/>
    <w:rsid w:val="00FE1555"/>
    <w:rsid w:val="00FE6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755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C0033"/>
  </w:style>
  <w:style w:type="character" w:customStyle="1" w:styleId="meta-nav">
    <w:name w:val="meta-nav"/>
    <w:basedOn w:val="DefaultParagraphFont"/>
    <w:rsid w:val="00A761EE"/>
  </w:style>
  <w:style w:type="paragraph" w:customStyle="1" w:styleId="authors">
    <w:name w:val="authors"/>
    <w:basedOn w:val="Normal"/>
    <w:rsid w:val="00A761EE"/>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pseudotab3">
    <w:name w:val="pseudotab3"/>
    <w:basedOn w:val="DefaultParagraphFont"/>
    <w:rsid w:val="00A761EE"/>
  </w:style>
  <w:style w:type="character" w:customStyle="1" w:styleId="hs101">
    <w:name w:val="hs101"/>
    <w:basedOn w:val="DefaultParagraphFont"/>
    <w:rsid w:val="008C197A"/>
    <w:rPr>
      <w:color w:val="000000"/>
      <w:sz w:val="20"/>
      <w:szCs w:val="20"/>
    </w:rPr>
  </w:style>
  <w:style w:type="paragraph" w:styleId="HTMLAddress">
    <w:name w:val="HTML Address"/>
    <w:basedOn w:val="Normal"/>
    <w:link w:val="HTMLAddressChar"/>
    <w:uiPriority w:val="99"/>
    <w:unhideWhenUsed/>
    <w:rsid w:val="005B41B3"/>
    <w:pPr>
      <w:spacing w:after="0" w:line="240" w:lineRule="auto"/>
    </w:pPr>
    <w:rPr>
      <w:rFonts w:ascii="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rsid w:val="005B41B3"/>
    <w:rPr>
      <w:rFonts w:ascii="Times New Roman" w:hAnsi="Times New Roman" w:cs="Times New Roman"/>
      <w:i/>
      <w:iCs/>
      <w:sz w:val="24"/>
      <w:szCs w:val="24"/>
      <w:lang w:eastAsia="en-AU"/>
    </w:rPr>
  </w:style>
  <w:style w:type="character" w:styleId="HTMLCite">
    <w:name w:val="HTML Cite"/>
    <w:basedOn w:val="DefaultParagraphFont"/>
    <w:uiPriority w:val="99"/>
    <w:semiHidden/>
    <w:unhideWhenUsed/>
    <w:rsid w:val="004A3164"/>
    <w:rPr>
      <w:i/>
      <w:iCs/>
    </w:rPr>
  </w:style>
  <w:style w:type="character" w:customStyle="1" w:styleId="slug-pub-date-pop">
    <w:name w:val="slug-pub-date-pop"/>
    <w:basedOn w:val="DefaultParagraphFont"/>
    <w:rsid w:val="004A3164"/>
  </w:style>
  <w:style w:type="character" w:customStyle="1" w:styleId="pop-slug-vol">
    <w:name w:val="pop-slug-vol"/>
    <w:basedOn w:val="DefaultParagraphFont"/>
    <w:rsid w:val="004A3164"/>
  </w:style>
  <w:style w:type="character" w:customStyle="1" w:styleId="slug-doi">
    <w:name w:val="slug-doi"/>
    <w:basedOn w:val="DefaultParagraphFont"/>
    <w:rsid w:val="004A3164"/>
  </w:style>
  <w:style w:type="character" w:customStyle="1" w:styleId="slug-ahead-of-print-date">
    <w:name w:val="slug-ahead-of-print-date"/>
    <w:basedOn w:val="DefaultParagraphFont"/>
    <w:rsid w:val="004A3164"/>
  </w:style>
  <w:style w:type="character" w:customStyle="1" w:styleId="pop-cite">
    <w:name w:val="pop-cite"/>
    <w:basedOn w:val="DefaultParagraphFont"/>
    <w:rsid w:val="004A3164"/>
  </w:style>
  <w:style w:type="character" w:customStyle="1" w:styleId="slug-pop-date">
    <w:name w:val="slug-pop-date"/>
    <w:basedOn w:val="DefaultParagraphFont"/>
    <w:rsid w:val="004A3164"/>
  </w:style>
  <w:style w:type="character" w:customStyle="1" w:styleId="pop-slug">
    <w:name w:val="pop-slug"/>
    <w:basedOn w:val="DefaultParagraphFont"/>
    <w:rsid w:val="004A3164"/>
  </w:style>
  <w:style w:type="character" w:customStyle="1" w:styleId="person">
    <w:name w:val="person"/>
    <w:basedOn w:val="DefaultParagraphFont"/>
    <w:rsid w:val="002A6A9E"/>
  </w:style>
  <w:style w:type="character" w:customStyle="1" w:styleId="Heading8Char">
    <w:name w:val="Heading 8 Char"/>
    <w:basedOn w:val="DefaultParagraphFont"/>
    <w:link w:val="Heading8"/>
    <w:uiPriority w:val="9"/>
    <w:semiHidden/>
    <w:rsid w:val="00755685"/>
    <w:rPr>
      <w:rFonts w:asciiTheme="majorHAnsi" w:eastAsiaTheme="majorEastAsia" w:hAnsiTheme="majorHAnsi" w:cstheme="majorBidi"/>
      <w:color w:val="404040" w:themeColor="text1" w:themeTint="BF"/>
      <w:sz w:val="20"/>
      <w:szCs w:val="20"/>
    </w:rPr>
  </w:style>
  <w:style w:type="character" w:customStyle="1" w:styleId="converted-anchor">
    <w:name w:val="converted-anchor"/>
    <w:basedOn w:val="DefaultParagraphFont"/>
    <w:rsid w:val="00755685"/>
  </w:style>
  <w:style w:type="paragraph" w:customStyle="1" w:styleId="pagelegend">
    <w:name w:val="page_legend"/>
    <w:basedOn w:val="Normal"/>
    <w:rsid w:val="005535DE"/>
    <w:pPr>
      <w:spacing w:after="225" w:line="240" w:lineRule="auto"/>
      <w:ind w:left="75" w:right="150"/>
    </w:pPr>
    <w:rPr>
      <w:rFonts w:ascii="Times New Roman" w:eastAsia="Times New Roman" w:hAnsi="Times New Roman" w:cs="Times New Roman"/>
      <w:i/>
      <w:iCs/>
      <w:sz w:val="17"/>
      <w:szCs w:val="17"/>
      <w:lang w:eastAsia="en-AU"/>
    </w:rPr>
  </w:style>
  <w:style w:type="character" w:customStyle="1" w:styleId="ilad">
    <w:name w:val="il_ad"/>
    <w:basedOn w:val="DefaultParagraphFont"/>
    <w:rsid w:val="005535DE"/>
  </w:style>
  <w:style w:type="character" w:customStyle="1" w:styleId="meta-bar-date">
    <w:name w:val="meta-bar-date"/>
    <w:basedOn w:val="DefaultParagraphFont"/>
    <w:rsid w:val="005535DE"/>
  </w:style>
  <w:style w:type="character" w:customStyle="1" w:styleId="btgrey1">
    <w:name w:val="btgrey1"/>
    <w:basedOn w:val="DefaultParagraphFont"/>
    <w:rsid w:val="005535DE"/>
    <w:rPr>
      <w:rFonts w:ascii="Verdana" w:hAnsi="Verdana" w:hint="default"/>
      <w:color w:val="666666"/>
    </w:rPr>
  </w:style>
  <w:style w:type="character" w:customStyle="1" w:styleId="date-display-single">
    <w:name w:val="date-display-single"/>
    <w:basedOn w:val="DefaultParagraphFont"/>
    <w:rsid w:val="005535DE"/>
  </w:style>
  <w:style w:type="paragraph" w:customStyle="1" w:styleId="small">
    <w:name w:val="small"/>
    <w:basedOn w:val="Normal"/>
    <w:rsid w:val="005535DE"/>
    <w:pPr>
      <w:spacing w:after="300" w:line="360" w:lineRule="atLeast"/>
    </w:pPr>
    <w:rPr>
      <w:rFonts w:ascii="Times New Roman" w:hAnsi="Times New Roman" w:cs="Times New Roman"/>
      <w:sz w:val="17"/>
      <w:szCs w:val="17"/>
      <w:lang w:eastAsia="en-AU"/>
    </w:rPr>
  </w:style>
  <w:style w:type="character" w:customStyle="1" w:styleId="publishdate1">
    <w:name w:val="publishdate1"/>
    <w:basedOn w:val="DefaultParagraphFont"/>
    <w:rsid w:val="005535DE"/>
  </w:style>
  <w:style w:type="paragraph" w:customStyle="1" w:styleId="hs1">
    <w:name w:val="hs1"/>
    <w:basedOn w:val="Normal"/>
    <w:uiPriority w:val="99"/>
    <w:semiHidden/>
    <w:rsid w:val="00FE6465"/>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21">
    <w:name w:val="hs21"/>
    <w:basedOn w:val="DefaultParagraphFont"/>
    <w:rsid w:val="00FE6465"/>
    <w:rPr>
      <w:sz w:val="24"/>
      <w:szCs w:val="24"/>
    </w:rPr>
  </w:style>
  <w:style w:type="character" w:customStyle="1" w:styleId="hs31">
    <w:name w:val="hs31"/>
    <w:basedOn w:val="DefaultParagraphFont"/>
    <w:rsid w:val="00FE6465"/>
    <w:rPr>
      <w:color w:val="000000"/>
    </w:rPr>
  </w:style>
  <w:style w:type="character" w:customStyle="1" w:styleId="hs41">
    <w:name w:val="hs41"/>
    <w:basedOn w:val="DefaultParagraphFont"/>
    <w:rsid w:val="00FE6465"/>
    <w:rPr>
      <w:color w:val="000000"/>
      <w:sz w:val="24"/>
      <w:szCs w:val="24"/>
    </w:rPr>
  </w:style>
  <w:style w:type="character" w:customStyle="1" w:styleId="hs51">
    <w:name w:val="hs51"/>
    <w:basedOn w:val="DefaultParagraphFont"/>
    <w:rsid w:val="00FE6465"/>
    <w:rPr>
      <w:sz w:val="16"/>
      <w:szCs w:val="16"/>
    </w:rPr>
  </w:style>
  <w:style w:type="character" w:customStyle="1" w:styleId="hs61">
    <w:name w:val="hs61"/>
    <w:basedOn w:val="DefaultParagraphFont"/>
    <w:rsid w:val="00FE6465"/>
    <w:rPr>
      <w:color w:val="000000"/>
      <w:sz w:val="16"/>
      <w:szCs w:val="16"/>
    </w:rPr>
  </w:style>
  <w:style w:type="character" w:customStyle="1" w:styleId="maintitle">
    <w:name w:val="maintitle"/>
    <w:basedOn w:val="DefaultParagraphFont"/>
    <w:rsid w:val="00FE6465"/>
  </w:style>
  <w:style w:type="paragraph" w:customStyle="1" w:styleId="copyright">
    <w:name w:val="copyright"/>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category">
    <w:name w:val="articlecategory"/>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details">
    <w:name w:val="articledetails"/>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966B1"/>
    <w:rPr>
      <w:color w:val="800080" w:themeColor="followedHyperlink"/>
      <w:u w:val="single"/>
    </w:rPr>
  </w:style>
  <w:style w:type="character" w:customStyle="1" w:styleId="in-widget">
    <w:name w:val="in-widget"/>
    <w:basedOn w:val="DefaultParagraphFont"/>
    <w:rsid w:val="007D4A5F"/>
  </w:style>
  <w:style w:type="paragraph" w:styleId="TOC2">
    <w:name w:val="toc 2"/>
    <w:basedOn w:val="Normal"/>
    <w:next w:val="Normal"/>
    <w:autoRedefine/>
    <w:uiPriority w:val="39"/>
    <w:unhideWhenUsed/>
    <w:rsid w:val="00617404"/>
    <w:pPr>
      <w:spacing w:after="100"/>
      <w:ind w:left="220"/>
    </w:pPr>
  </w:style>
  <w:style w:type="character" w:customStyle="1" w:styleId="pron">
    <w:name w:val="pron"/>
    <w:basedOn w:val="DefaultParagraphFont"/>
    <w:rsid w:val="00617404"/>
  </w:style>
  <w:style w:type="paragraph" w:customStyle="1" w:styleId="options">
    <w:name w:val="options"/>
    <w:basedOn w:val="Normal"/>
    <w:rsid w:val="00C431CD"/>
    <w:pPr>
      <w:spacing w:after="0" w:line="240" w:lineRule="auto"/>
    </w:pPr>
    <w:rPr>
      <w:rFonts w:ascii="Times New Roman" w:eastAsia="Times New Roman" w:hAnsi="Times New Roman" w:cs="Times New Roman"/>
      <w:color w:val="919191"/>
      <w:lang w:eastAsia="en-AU"/>
    </w:rPr>
  </w:style>
  <w:style w:type="character" w:customStyle="1" w:styleId="blurb">
    <w:name w:val="blurb"/>
    <w:basedOn w:val="DefaultParagraphFont"/>
    <w:rsid w:val="00C431CD"/>
  </w:style>
  <w:style w:type="character" w:customStyle="1" w:styleId="tools-timestamp1">
    <w:name w:val="tools-timestamp1"/>
    <w:basedOn w:val="DefaultParagraphFont"/>
    <w:rsid w:val="00573E00"/>
    <w:rPr>
      <w:vanish w:val="0"/>
      <w:webHidden w:val="0"/>
      <w:specVanish w:val="0"/>
    </w:rPr>
  </w:style>
  <w:style w:type="character" w:customStyle="1" w:styleId="tools-comments3">
    <w:name w:val="tools-comments3"/>
    <w:basedOn w:val="DefaultParagraphFont"/>
    <w:rsid w:val="00573E00"/>
    <w:rPr>
      <w:b/>
      <w:bCs/>
      <w:vanish w:val="0"/>
      <w:webHidden w:val="0"/>
      <w:specVanish w:val="0"/>
    </w:rPr>
  </w:style>
  <w:style w:type="character" w:customStyle="1" w:styleId="tools-posted-in">
    <w:name w:val="tools-posted-in"/>
    <w:basedOn w:val="DefaultParagraphFont"/>
    <w:rsid w:val="00573E00"/>
  </w:style>
  <w:style w:type="character" w:customStyle="1" w:styleId="tools-posted-topics">
    <w:name w:val="tools-posted-topics"/>
    <w:basedOn w:val="DefaultParagraphFont"/>
    <w:rsid w:val="00573E00"/>
  </w:style>
  <w:style w:type="character" w:customStyle="1" w:styleId="source-prefix">
    <w:name w:val="source-prefix"/>
    <w:basedOn w:val="DefaultParagraphFont"/>
    <w:rsid w:val="004D3397"/>
  </w:style>
  <w:style w:type="character" w:customStyle="1" w:styleId="datestamp">
    <w:name w:val="datestamp"/>
    <w:basedOn w:val="DefaultParagraphFont"/>
    <w:rsid w:val="004D3397"/>
  </w:style>
  <w:style w:type="character" w:customStyle="1" w:styleId="timestamp">
    <w:name w:val="timestamp"/>
    <w:basedOn w:val="DefaultParagraphFont"/>
    <w:rsid w:val="004D3397"/>
  </w:style>
  <w:style w:type="character" w:customStyle="1" w:styleId="share-tools-text">
    <w:name w:val="share-tools-text"/>
    <w:basedOn w:val="DefaultParagraphFont"/>
    <w:rsid w:val="004D3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755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C0033"/>
  </w:style>
  <w:style w:type="character" w:customStyle="1" w:styleId="meta-nav">
    <w:name w:val="meta-nav"/>
    <w:basedOn w:val="DefaultParagraphFont"/>
    <w:rsid w:val="00A761EE"/>
  </w:style>
  <w:style w:type="paragraph" w:customStyle="1" w:styleId="authors">
    <w:name w:val="authors"/>
    <w:basedOn w:val="Normal"/>
    <w:rsid w:val="00A761EE"/>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pseudotab3">
    <w:name w:val="pseudotab3"/>
    <w:basedOn w:val="DefaultParagraphFont"/>
    <w:rsid w:val="00A761EE"/>
  </w:style>
  <w:style w:type="character" w:customStyle="1" w:styleId="hs101">
    <w:name w:val="hs101"/>
    <w:basedOn w:val="DefaultParagraphFont"/>
    <w:rsid w:val="008C197A"/>
    <w:rPr>
      <w:color w:val="000000"/>
      <w:sz w:val="20"/>
      <w:szCs w:val="20"/>
    </w:rPr>
  </w:style>
  <w:style w:type="paragraph" w:styleId="HTMLAddress">
    <w:name w:val="HTML Address"/>
    <w:basedOn w:val="Normal"/>
    <w:link w:val="HTMLAddressChar"/>
    <w:uiPriority w:val="99"/>
    <w:unhideWhenUsed/>
    <w:rsid w:val="005B41B3"/>
    <w:pPr>
      <w:spacing w:after="0" w:line="240" w:lineRule="auto"/>
    </w:pPr>
    <w:rPr>
      <w:rFonts w:ascii="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rsid w:val="005B41B3"/>
    <w:rPr>
      <w:rFonts w:ascii="Times New Roman" w:hAnsi="Times New Roman" w:cs="Times New Roman"/>
      <w:i/>
      <w:iCs/>
      <w:sz w:val="24"/>
      <w:szCs w:val="24"/>
      <w:lang w:eastAsia="en-AU"/>
    </w:rPr>
  </w:style>
  <w:style w:type="character" w:styleId="HTMLCite">
    <w:name w:val="HTML Cite"/>
    <w:basedOn w:val="DefaultParagraphFont"/>
    <w:uiPriority w:val="99"/>
    <w:semiHidden/>
    <w:unhideWhenUsed/>
    <w:rsid w:val="004A3164"/>
    <w:rPr>
      <w:i/>
      <w:iCs/>
    </w:rPr>
  </w:style>
  <w:style w:type="character" w:customStyle="1" w:styleId="slug-pub-date-pop">
    <w:name w:val="slug-pub-date-pop"/>
    <w:basedOn w:val="DefaultParagraphFont"/>
    <w:rsid w:val="004A3164"/>
  </w:style>
  <w:style w:type="character" w:customStyle="1" w:styleId="pop-slug-vol">
    <w:name w:val="pop-slug-vol"/>
    <w:basedOn w:val="DefaultParagraphFont"/>
    <w:rsid w:val="004A3164"/>
  </w:style>
  <w:style w:type="character" w:customStyle="1" w:styleId="slug-doi">
    <w:name w:val="slug-doi"/>
    <w:basedOn w:val="DefaultParagraphFont"/>
    <w:rsid w:val="004A3164"/>
  </w:style>
  <w:style w:type="character" w:customStyle="1" w:styleId="slug-ahead-of-print-date">
    <w:name w:val="slug-ahead-of-print-date"/>
    <w:basedOn w:val="DefaultParagraphFont"/>
    <w:rsid w:val="004A3164"/>
  </w:style>
  <w:style w:type="character" w:customStyle="1" w:styleId="pop-cite">
    <w:name w:val="pop-cite"/>
    <w:basedOn w:val="DefaultParagraphFont"/>
    <w:rsid w:val="004A3164"/>
  </w:style>
  <w:style w:type="character" w:customStyle="1" w:styleId="slug-pop-date">
    <w:name w:val="slug-pop-date"/>
    <w:basedOn w:val="DefaultParagraphFont"/>
    <w:rsid w:val="004A3164"/>
  </w:style>
  <w:style w:type="character" w:customStyle="1" w:styleId="pop-slug">
    <w:name w:val="pop-slug"/>
    <w:basedOn w:val="DefaultParagraphFont"/>
    <w:rsid w:val="004A3164"/>
  </w:style>
  <w:style w:type="character" w:customStyle="1" w:styleId="person">
    <w:name w:val="person"/>
    <w:basedOn w:val="DefaultParagraphFont"/>
    <w:rsid w:val="002A6A9E"/>
  </w:style>
  <w:style w:type="character" w:customStyle="1" w:styleId="Heading8Char">
    <w:name w:val="Heading 8 Char"/>
    <w:basedOn w:val="DefaultParagraphFont"/>
    <w:link w:val="Heading8"/>
    <w:uiPriority w:val="9"/>
    <w:semiHidden/>
    <w:rsid w:val="00755685"/>
    <w:rPr>
      <w:rFonts w:asciiTheme="majorHAnsi" w:eastAsiaTheme="majorEastAsia" w:hAnsiTheme="majorHAnsi" w:cstheme="majorBidi"/>
      <w:color w:val="404040" w:themeColor="text1" w:themeTint="BF"/>
      <w:sz w:val="20"/>
      <w:szCs w:val="20"/>
    </w:rPr>
  </w:style>
  <w:style w:type="character" w:customStyle="1" w:styleId="converted-anchor">
    <w:name w:val="converted-anchor"/>
    <w:basedOn w:val="DefaultParagraphFont"/>
    <w:rsid w:val="00755685"/>
  </w:style>
  <w:style w:type="paragraph" w:customStyle="1" w:styleId="pagelegend">
    <w:name w:val="page_legend"/>
    <w:basedOn w:val="Normal"/>
    <w:rsid w:val="005535DE"/>
    <w:pPr>
      <w:spacing w:after="225" w:line="240" w:lineRule="auto"/>
      <w:ind w:left="75" w:right="150"/>
    </w:pPr>
    <w:rPr>
      <w:rFonts w:ascii="Times New Roman" w:eastAsia="Times New Roman" w:hAnsi="Times New Roman" w:cs="Times New Roman"/>
      <w:i/>
      <w:iCs/>
      <w:sz w:val="17"/>
      <w:szCs w:val="17"/>
      <w:lang w:eastAsia="en-AU"/>
    </w:rPr>
  </w:style>
  <w:style w:type="character" w:customStyle="1" w:styleId="ilad">
    <w:name w:val="il_ad"/>
    <w:basedOn w:val="DefaultParagraphFont"/>
    <w:rsid w:val="005535DE"/>
  </w:style>
  <w:style w:type="character" w:customStyle="1" w:styleId="meta-bar-date">
    <w:name w:val="meta-bar-date"/>
    <w:basedOn w:val="DefaultParagraphFont"/>
    <w:rsid w:val="005535DE"/>
  </w:style>
  <w:style w:type="character" w:customStyle="1" w:styleId="btgrey1">
    <w:name w:val="btgrey1"/>
    <w:basedOn w:val="DefaultParagraphFont"/>
    <w:rsid w:val="005535DE"/>
    <w:rPr>
      <w:rFonts w:ascii="Verdana" w:hAnsi="Verdana" w:hint="default"/>
      <w:color w:val="666666"/>
    </w:rPr>
  </w:style>
  <w:style w:type="character" w:customStyle="1" w:styleId="date-display-single">
    <w:name w:val="date-display-single"/>
    <w:basedOn w:val="DefaultParagraphFont"/>
    <w:rsid w:val="005535DE"/>
  </w:style>
  <w:style w:type="paragraph" w:customStyle="1" w:styleId="small">
    <w:name w:val="small"/>
    <w:basedOn w:val="Normal"/>
    <w:rsid w:val="005535DE"/>
    <w:pPr>
      <w:spacing w:after="300" w:line="360" w:lineRule="atLeast"/>
    </w:pPr>
    <w:rPr>
      <w:rFonts w:ascii="Times New Roman" w:hAnsi="Times New Roman" w:cs="Times New Roman"/>
      <w:sz w:val="17"/>
      <w:szCs w:val="17"/>
      <w:lang w:eastAsia="en-AU"/>
    </w:rPr>
  </w:style>
  <w:style w:type="character" w:customStyle="1" w:styleId="publishdate1">
    <w:name w:val="publishdate1"/>
    <w:basedOn w:val="DefaultParagraphFont"/>
    <w:rsid w:val="005535DE"/>
  </w:style>
  <w:style w:type="paragraph" w:customStyle="1" w:styleId="hs1">
    <w:name w:val="hs1"/>
    <w:basedOn w:val="Normal"/>
    <w:uiPriority w:val="99"/>
    <w:semiHidden/>
    <w:rsid w:val="00FE6465"/>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21">
    <w:name w:val="hs21"/>
    <w:basedOn w:val="DefaultParagraphFont"/>
    <w:rsid w:val="00FE6465"/>
    <w:rPr>
      <w:sz w:val="24"/>
      <w:szCs w:val="24"/>
    </w:rPr>
  </w:style>
  <w:style w:type="character" w:customStyle="1" w:styleId="hs31">
    <w:name w:val="hs31"/>
    <w:basedOn w:val="DefaultParagraphFont"/>
    <w:rsid w:val="00FE6465"/>
    <w:rPr>
      <w:color w:val="000000"/>
    </w:rPr>
  </w:style>
  <w:style w:type="character" w:customStyle="1" w:styleId="hs41">
    <w:name w:val="hs41"/>
    <w:basedOn w:val="DefaultParagraphFont"/>
    <w:rsid w:val="00FE6465"/>
    <w:rPr>
      <w:color w:val="000000"/>
      <w:sz w:val="24"/>
      <w:szCs w:val="24"/>
    </w:rPr>
  </w:style>
  <w:style w:type="character" w:customStyle="1" w:styleId="hs51">
    <w:name w:val="hs51"/>
    <w:basedOn w:val="DefaultParagraphFont"/>
    <w:rsid w:val="00FE6465"/>
    <w:rPr>
      <w:sz w:val="16"/>
      <w:szCs w:val="16"/>
    </w:rPr>
  </w:style>
  <w:style w:type="character" w:customStyle="1" w:styleId="hs61">
    <w:name w:val="hs61"/>
    <w:basedOn w:val="DefaultParagraphFont"/>
    <w:rsid w:val="00FE6465"/>
    <w:rPr>
      <w:color w:val="000000"/>
      <w:sz w:val="16"/>
      <w:szCs w:val="16"/>
    </w:rPr>
  </w:style>
  <w:style w:type="character" w:customStyle="1" w:styleId="maintitle">
    <w:name w:val="maintitle"/>
    <w:basedOn w:val="DefaultParagraphFont"/>
    <w:rsid w:val="00FE6465"/>
  </w:style>
  <w:style w:type="paragraph" w:customStyle="1" w:styleId="copyright">
    <w:name w:val="copyright"/>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category">
    <w:name w:val="articlecategory"/>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icledetails">
    <w:name w:val="articledetails"/>
    <w:basedOn w:val="Normal"/>
    <w:rsid w:val="00FE64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966B1"/>
    <w:rPr>
      <w:color w:val="800080" w:themeColor="followedHyperlink"/>
      <w:u w:val="single"/>
    </w:rPr>
  </w:style>
  <w:style w:type="character" w:customStyle="1" w:styleId="in-widget">
    <w:name w:val="in-widget"/>
    <w:basedOn w:val="DefaultParagraphFont"/>
    <w:rsid w:val="007D4A5F"/>
  </w:style>
  <w:style w:type="paragraph" w:styleId="TOC2">
    <w:name w:val="toc 2"/>
    <w:basedOn w:val="Normal"/>
    <w:next w:val="Normal"/>
    <w:autoRedefine/>
    <w:uiPriority w:val="39"/>
    <w:unhideWhenUsed/>
    <w:rsid w:val="00617404"/>
    <w:pPr>
      <w:spacing w:after="100"/>
      <w:ind w:left="220"/>
    </w:pPr>
  </w:style>
  <w:style w:type="character" w:customStyle="1" w:styleId="pron">
    <w:name w:val="pron"/>
    <w:basedOn w:val="DefaultParagraphFont"/>
    <w:rsid w:val="00617404"/>
  </w:style>
  <w:style w:type="paragraph" w:customStyle="1" w:styleId="options">
    <w:name w:val="options"/>
    <w:basedOn w:val="Normal"/>
    <w:rsid w:val="00C431CD"/>
    <w:pPr>
      <w:spacing w:after="0" w:line="240" w:lineRule="auto"/>
    </w:pPr>
    <w:rPr>
      <w:rFonts w:ascii="Times New Roman" w:eastAsia="Times New Roman" w:hAnsi="Times New Roman" w:cs="Times New Roman"/>
      <w:color w:val="919191"/>
      <w:lang w:eastAsia="en-AU"/>
    </w:rPr>
  </w:style>
  <w:style w:type="character" w:customStyle="1" w:styleId="blurb">
    <w:name w:val="blurb"/>
    <w:basedOn w:val="DefaultParagraphFont"/>
    <w:rsid w:val="00C431CD"/>
  </w:style>
  <w:style w:type="character" w:customStyle="1" w:styleId="tools-timestamp1">
    <w:name w:val="tools-timestamp1"/>
    <w:basedOn w:val="DefaultParagraphFont"/>
    <w:rsid w:val="00573E00"/>
    <w:rPr>
      <w:vanish w:val="0"/>
      <w:webHidden w:val="0"/>
      <w:specVanish w:val="0"/>
    </w:rPr>
  </w:style>
  <w:style w:type="character" w:customStyle="1" w:styleId="tools-comments3">
    <w:name w:val="tools-comments3"/>
    <w:basedOn w:val="DefaultParagraphFont"/>
    <w:rsid w:val="00573E00"/>
    <w:rPr>
      <w:b/>
      <w:bCs/>
      <w:vanish w:val="0"/>
      <w:webHidden w:val="0"/>
      <w:specVanish w:val="0"/>
    </w:rPr>
  </w:style>
  <w:style w:type="character" w:customStyle="1" w:styleId="tools-posted-in">
    <w:name w:val="tools-posted-in"/>
    <w:basedOn w:val="DefaultParagraphFont"/>
    <w:rsid w:val="00573E00"/>
  </w:style>
  <w:style w:type="character" w:customStyle="1" w:styleId="tools-posted-topics">
    <w:name w:val="tools-posted-topics"/>
    <w:basedOn w:val="DefaultParagraphFont"/>
    <w:rsid w:val="00573E00"/>
  </w:style>
  <w:style w:type="character" w:customStyle="1" w:styleId="source-prefix">
    <w:name w:val="source-prefix"/>
    <w:basedOn w:val="DefaultParagraphFont"/>
    <w:rsid w:val="004D3397"/>
  </w:style>
  <w:style w:type="character" w:customStyle="1" w:styleId="datestamp">
    <w:name w:val="datestamp"/>
    <w:basedOn w:val="DefaultParagraphFont"/>
    <w:rsid w:val="004D3397"/>
  </w:style>
  <w:style w:type="character" w:customStyle="1" w:styleId="timestamp">
    <w:name w:val="timestamp"/>
    <w:basedOn w:val="DefaultParagraphFont"/>
    <w:rsid w:val="004D3397"/>
  </w:style>
  <w:style w:type="character" w:customStyle="1" w:styleId="share-tools-text">
    <w:name w:val="share-tools-text"/>
    <w:basedOn w:val="DefaultParagraphFont"/>
    <w:rsid w:val="004D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068">
      <w:bodyDiv w:val="1"/>
      <w:marLeft w:val="750"/>
      <w:marRight w:val="750"/>
      <w:marTop w:val="0"/>
      <w:marBottom w:val="0"/>
      <w:divBdr>
        <w:top w:val="none" w:sz="0" w:space="0" w:color="auto"/>
        <w:left w:val="none" w:sz="0" w:space="0" w:color="auto"/>
        <w:bottom w:val="none" w:sz="0" w:space="0" w:color="auto"/>
        <w:right w:val="none" w:sz="0" w:space="0" w:color="auto"/>
      </w:divBdr>
    </w:div>
    <w:div w:id="270014242">
      <w:bodyDiv w:val="1"/>
      <w:marLeft w:val="0"/>
      <w:marRight w:val="0"/>
      <w:marTop w:val="0"/>
      <w:marBottom w:val="0"/>
      <w:divBdr>
        <w:top w:val="none" w:sz="0" w:space="0" w:color="auto"/>
        <w:left w:val="none" w:sz="0" w:space="0" w:color="auto"/>
        <w:bottom w:val="none" w:sz="0" w:space="0" w:color="auto"/>
        <w:right w:val="none" w:sz="0" w:space="0" w:color="auto"/>
      </w:divBdr>
      <w:divsChild>
        <w:div w:id="90976560">
          <w:marLeft w:val="0"/>
          <w:marRight w:val="0"/>
          <w:marTop w:val="0"/>
          <w:marBottom w:val="0"/>
          <w:divBdr>
            <w:top w:val="none" w:sz="0" w:space="0" w:color="auto"/>
            <w:left w:val="none" w:sz="0" w:space="0" w:color="auto"/>
            <w:bottom w:val="none" w:sz="0" w:space="0" w:color="auto"/>
            <w:right w:val="none" w:sz="0" w:space="0" w:color="auto"/>
          </w:divBdr>
          <w:divsChild>
            <w:div w:id="1708136326">
              <w:marLeft w:val="0"/>
              <w:marRight w:val="0"/>
              <w:marTop w:val="510"/>
              <w:marBottom w:val="90"/>
              <w:divBdr>
                <w:top w:val="none" w:sz="0" w:space="0" w:color="auto"/>
                <w:left w:val="none" w:sz="0" w:space="0" w:color="auto"/>
                <w:bottom w:val="none" w:sz="0" w:space="0" w:color="auto"/>
                <w:right w:val="none" w:sz="0" w:space="0" w:color="auto"/>
              </w:divBdr>
              <w:divsChild>
                <w:div w:id="1171874228">
                  <w:marLeft w:val="0"/>
                  <w:marRight w:val="0"/>
                  <w:marTop w:val="0"/>
                  <w:marBottom w:val="0"/>
                  <w:divBdr>
                    <w:top w:val="none" w:sz="0" w:space="0" w:color="auto"/>
                    <w:left w:val="none" w:sz="0" w:space="0" w:color="auto"/>
                    <w:bottom w:val="none" w:sz="0" w:space="0" w:color="auto"/>
                    <w:right w:val="none" w:sz="0" w:space="0" w:color="auto"/>
                  </w:divBdr>
                  <w:divsChild>
                    <w:div w:id="982927377">
                      <w:marLeft w:val="0"/>
                      <w:marRight w:val="0"/>
                      <w:marTop w:val="0"/>
                      <w:marBottom w:val="0"/>
                      <w:divBdr>
                        <w:top w:val="none" w:sz="0" w:space="0" w:color="auto"/>
                        <w:left w:val="none" w:sz="0" w:space="0" w:color="auto"/>
                        <w:bottom w:val="none" w:sz="0" w:space="0" w:color="auto"/>
                        <w:right w:val="none" w:sz="0" w:space="0" w:color="auto"/>
                      </w:divBdr>
                      <w:divsChild>
                        <w:div w:id="1187332782">
                          <w:marLeft w:val="0"/>
                          <w:marRight w:val="0"/>
                          <w:marTop w:val="0"/>
                          <w:marBottom w:val="0"/>
                          <w:divBdr>
                            <w:top w:val="none" w:sz="0" w:space="0" w:color="auto"/>
                            <w:left w:val="none" w:sz="0" w:space="0" w:color="auto"/>
                            <w:bottom w:val="none" w:sz="0" w:space="0" w:color="auto"/>
                            <w:right w:val="none" w:sz="0" w:space="0" w:color="auto"/>
                          </w:divBdr>
                          <w:divsChild>
                            <w:div w:id="1157840128">
                              <w:marLeft w:val="0"/>
                              <w:marRight w:val="0"/>
                              <w:marTop w:val="0"/>
                              <w:marBottom w:val="0"/>
                              <w:divBdr>
                                <w:top w:val="none" w:sz="0" w:space="0" w:color="auto"/>
                                <w:left w:val="none" w:sz="0" w:space="0" w:color="auto"/>
                                <w:bottom w:val="none" w:sz="0" w:space="0" w:color="auto"/>
                                <w:right w:val="none" w:sz="0" w:space="0" w:color="auto"/>
                              </w:divBdr>
                              <w:divsChild>
                                <w:div w:id="1610241192">
                                  <w:marLeft w:val="225"/>
                                  <w:marRight w:val="0"/>
                                  <w:marTop w:val="150"/>
                                  <w:marBottom w:val="0"/>
                                  <w:divBdr>
                                    <w:top w:val="none" w:sz="0" w:space="0" w:color="auto"/>
                                    <w:left w:val="none" w:sz="0" w:space="0" w:color="auto"/>
                                    <w:bottom w:val="none" w:sz="0" w:space="0" w:color="auto"/>
                                    <w:right w:val="none" w:sz="0" w:space="0" w:color="auto"/>
                                  </w:divBdr>
                                  <w:divsChild>
                                    <w:div w:id="1728336521">
                                      <w:marLeft w:val="0"/>
                                      <w:marRight w:val="0"/>
                                      <w:marTop w:val="225"/>
                                      <w:marBottom w:val="0"/>
                                      <w:divBdr>
                                        <w:top w:val="single" w:sz="6" w:space="0" w:color="999999"/>
                                        <w:left w:val="single" w:sz="6" w:space="0" w:color="999999"/>
                                        <w:bottom w:val="single" w:sz="6" w:space="15" w:color="999999"/>
                                        <w:right w:val="single" w:sz="6" w:space="0" w:color="999999"/>
                                      </w:divBdr>
                                      <w:divsChild>
                                        <w:div w:id="704792239">
                                          <w:marLeft w:val="0"/>
                                          <w:marRight w:val="0"/>
                                          <w:marTop w:val="0"/>
                                          <w:marBottom w:val="0"/>
                                          <w:divBdr>
                                            <w:top w:val="none" w:sz="0" w:space="0" w:color="auto"/>
                                            <w:left w:val="none" w:sz="0" w:space="0" w:color="auto"/>
                                            <w:bottom w:val="none" w:sz="0" w:space="0" w:color="auto"/>
                                            <w:right w:val="none" w:sz="0" w:space="0" w:color="auto"/>
                                          </w:divBdr>
                                        </w:div>
                                        <w:div w:id="1335496354">
                                          <w:marLeft w:val="225"/>
                                          <w:marRight w:val="0"/>
                                          <w:marTop w:val="0"/>
                                          <w:marBottom w:val="150"/>
                                          <w:divBdr>
                                            <w:top w:val="none" w:sz="0" w:space="0" w:color="auto"/>
                                            <w:left w:val="none" w:sz="0" w:space="0" w:color="auto"/>
                                            <w:bottom w:val="dotted" w:sz="6" w:space="8" w:color="auto"/>
                                            <w:right w:val="none" w:sz="0" w:space="0" w:color="auto"/>
                                          </w:divBdr>
                                        </w:div>
                                        <w:div w:id="1994328299">
                                          <w:marLeft w:val="0"/>
                                          <w:marRight w:val="375"/>
                                          <w:marTop w:val="0"/>
                                          <w:marBottom w:val="150"/>
                                          <w:divBdr>
                                            <w:top w:val="none" w:sz="0" w:space="0" w:color="auto"/>
                                            <w:left w:val="none" w:sz="0" w:space="0" w:color="auto"/>
                                            <w:bottom w:val="none" w:sz="0" w:space="0" w:color="auto"/>
                                            <w:right w:val="none" w:sz="0" w:space="0" w:color="auto"/>
                                          </w:divBdr>
                                        </w:div>
                                        <w:div w:id="65353048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113435">
      <w:bodyDiv w:val="1"/>
      <w:marLeft w:val="0"/>
      <w:marRight w:val="0"/>
      <w:marTop w:val="0"/>
      <w:marBottom w:val="0"/>
      <w:divBdr>
        <w:top w:val="none" w:sz="0" w:space="0" w:color="auto"/>
        <w:left w:val="none" w:sz="0" w:space="0" w:color="auto"/>
        <w:bottom w:val="none" w:sz="0" w:space="0" w:color="auto"/>
        <w:right w:val="none" w:sz="0" w:space="0" w:color="auto"/>
      </w:divBdr>
      <w:divsChild>
        <w:div w:id="295991566">
          <w:marLeft w:val="0"/>
          <w:marRight w:val="0"/>
          <w:marTop w:val="0"/>
          <w:marBottom w:val="0"/>
          <w:divBdr>
            <w:top w:val="none" w:sz="0" w:space="0" w:color="auto"/>
            <w:left w:val="none" w:sz="0" w:space="0" w:color="auto"/>
            <w:bottom w:val="none" w:sz="0" w:space="0" w:color="auto"/>
            <w:right w:val="none" w:sz="0" w:space="0" w:color="auto"/>
          </w:divBdr>
          <w:divsChild>
            <w:div w:id="2074503856">
              <w:marLeft w:val="0"/>
              <w:marRight w:val="0"/>
              <w:marTop w:val="0"/>
              <w:marBottom w:val="450"/>
              <w:divBdr>
                <w:top w:val="none" w:sz="0" w:space="0" w:color="auto"/>
                <w:left w:val="none" w:sz="0" w:space="0" w:color="auto"/>
                <w:bottom w:val="none" w:sz="0" w:space="0" w:color="auto"/>
                <w:right w:val="none" w:sz="0" w:space="0" w:color="auto"/>
              </w:divBdr>
              <w:divsChild>
                <w:div w:id="1019963062">
                  <w:marLeft w:val="0"/>
                  <w:marRight w:val="0"/>
                  <w:marTop w:val="0"/>
                  <w:marBottom w:val="0"/>
                  <w:divBdr>
                    <w:top w:val="single" w:sz="6" w:space="6" w:color="FFFFFF"/>
                    <w:left w:val="single" w:sz="6" w:space="11" w:color="FFFFFF"/>
                    <w:bottom w:val="single" w:sz="6" w:space="11" w:color="FFFFFF"/>
                    <w:right w:val="single" w:sz="6" w:space="11" w:color="FFFFFF"/>
                  </w:divBdr>
                  <w:divsChild>
                    <w:div w:id="1930001535">
                      <w:marLeft w:val="0"/>
                      <w:marRight w:val="0"/>
                      <w:marTop w:val="0"/>
                      <w:marBottom w:val="0"/>
                      <w:divBdr>
                        <w:top w:val="none" w:sz="0" w:space="0" w:color="auto"/>
                        <w:left w:val="none" w:sz="0" w:space="0" w:color="auto"/>
                        <w:bottom w:val="none" w:sz="0" w:space="0" w:color="auto"/>
                        <w:right w:val="none" w:sz="0" w:space="0" w:color="auto"/>
                      </w:divBdr>
                      <w:divsChild>
                        <w:div w:id="1415392445">
                          <w:marLeft w:val="0"/>
                          <w:marRight w:val="0"/>
                          <w:marTop w:val="0"/>
                          <w:marBottom w:val="0"/>
                          <w:divBdr>
                            <w:top w:val="none" w:sz="0" w:space="0" w:color="auto"/>
                            <w:left w:val="none" w:sz="0" w:space="0" w:color="auto"/>
                            <w:bottom w:val="none" w:sz="0" w:space="0" w:color="auto"/>
                            <w:right w:val="none" w:sz="0" w:space="0" w:color="auto"/>
                          </w:divBdr>
                          <w:divsChild>
                            <w:div w:id="492525169">
                              <w:marLeft w:val="0"/>
                              <w:marRight w:val="0"/>
                              <w:marTop w:val="0"/>
                              <w:marBottom w:val="0"/>
                              <w:divBdr>
                                <w:top w:val="none" w:sz="0" w:space="0" w:color="auto"/>
                                <w:left w:val="none" w:sz="0" w:space="0" w:color="auto"/>
                                <w:bottom w:val="none" w:sz="0" w:space="0" w:color="auto"/>
                                <w:right w:val="none" w:sz="0" w:space="0" w:color="auto"/>
                              </w:divBdr>
                              <w:divsChild>
                                <w:div w:id="2393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604268">
      <w:bodyDiv w:val="1"/>
      <w:marLeft w:val="0"/>
      <w:marRight w:val="0"/>
      <w:marTop w:val="0"/>
      <w:marBottom w:val="0"/>
      <w:divBdr>
        <w:top w:val="none" w:sz="0" w:space="0" w:color="auto"/>
        <w:left w:val="none" w:sz="0" w:space="0" w:color="auto"/>
        <w:bottom w:val="none" w:sz="0" w:space="0" w:color="auto"/>
        <w:right w:val="none" w:sz="0" w:space="0" w:color="auto"/>
      </w:divBdr>
      <w:divsChild>
        <w:div w:id="2107116506">
          <w:marLeft w:val="0"/>
          <w:marRight w:val="0"/>
          <w:marTop w:val="0"/>
          <w:marBottom w:val="0"/>
          <w:divBdr>
            <w:top w:val="none" w:sz="0" w:space="0" w:color="auto"/>
            <w:left w:val="none" w:sz="0" w:space="0" w:color="auto"/>
            <w:bottom w:val="none" w:sz="0" w:space="0" w:color="auto"/>
            <w:right w:val="none" w:sz="0" w:space="0" w:color="auto"/>
          </w:divBdr>
          <w:divsChild>
            <w:div w:id="1135561721">
              <w:marLeft w:val="0"/>
              <w:marRight w:val="30"/>
              <w:marTop w:val="30"/>
              <w:marBottom w:val="0"/>
              <w:divBdr>
                <w:top w:val="single" w:sz="2" w:space="4" w:color="B3C3CB"/>
                <w:left w:val="single" w:sz="2" w:space="4" w:color="B3C3CB"/>
                <w:bottom w:val="single" w:sz="2" w:space="4" w:color="B3C3CB"/>
                <w:right w:val="single" w:sz="2" w:space="4" w:color="B3C3CB"/>
              </w:divBdr>
            </w:div>
          </w:divsChild>
        </w:div>
      </w:divsChild>
    </w:div>
    <w:div w:id="1237089693">
      <w:bodyDiv w:val="1"/>
      <w:marLeft w:val="105"/>
      <w:marRight w:val="105"/>
      <w:marTop w:val="15"/>
      <w:marBottom w:val="15"/>
      <w:divBdr>
        <w:top w:val="none" w:sz="0" w:space="0" w:color="auto"/>
        <w:left w:val="none" w:sz="0" w:space="0" w:color="auto"/>
        <w:bottom w:val="none" w:sz="0" w:space="0" w:color="auto"/>
        <w:right w:val="none" w:sz="0" w:space="0" w:color="auto"/>
      </w:divBdr>
      <w:divsChild>
        <w:div w:id="221404341">
          <w:marLeft w:val="0"/>
          <w:marRight w:val="0"/>
          <w:marTop w:val="120"/>
          <w:marBottom w:val="0"/>
          <w:divBdr>
            <w:top w:val="none" w:sz="0" w:space="0" w:color="auto"/>
            <w:left w:val="none" w:sz="0" w:space="0" w:color="auto"/>
            <w:bottom w:val="none" w:sz="0" w:space="0" w:color="auto"/>
            <w:right w:val="none" w:sz="0" w:space="0" w:color="auto"/>
          </w:divBdr>
          <w:divsChild>
            <w:div w:id="95285916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63688496">
      <w:bodyDiv w:val="1"/>
      <w:marLeft w:val="0"/>
      <w:marRight w:val="0"/>
      <w:marTop w:val="0"/>
      <w:marBottom w:val="0"/>
      <w:divBdr>
        <w:top w:val="none" w:sz="0" w:space="0" w:color="auto"/>
        <w:left w:val="none" w:sz="0" w:space="0" w:color="auto"/>
        <w:bottom w:val="none" w:sz="0" w:space="0" w:color="auto"/>
        <w:right w:val="none" w:sz="0" w:space="0" w:color="auto"/>
      </w:divBdr>
      <w:divsChild>
        <w:div w:id="1244027535">
          <w:marLeft w:val="0"/>
          <w:marRight w:val="0"/>
          <w:marTop w:val="0"/>
          <w:marBottom w:val="0"/>
          <w:divBdr>
            <w:top w:val="none" w:sz="0" w:space="0" w:color="auto"/>
            <w:left w:val="none" w:sz="0" w:space="0" w:color="auto"/>
            <w:bottom w:val="none" w:sz="0" w:space="0" w:color="auto"/>
            <w:right w:val="none" w:sz="0" w:space="0" w:color="auto"/>
          </w:divBdr>
          <w:divsChild>
            <w:div w:id="1185024383">
              <w:marLeft w:val="0"/>
              <w:marRight w:val="0"/>
              <w:marTop w:val="0"/>
              <w:marBottom w:val="0"/>
              <w:divBdr>
                <w:top w:val="none" w:sz="0" w:space="0" w:color="auto"/>
                <w:left w:val="none" w:sz="0" w:space="0" w:color="auto"/>
                <w:bottom w:val="none" w:sz="0" w:space="0" w:color="auto"/>
                <w:right w:val="none" w:sz="0" w:space="0" w:color="auto"/>
              </w:divBdr>
              <w:divsChild>
                <w:div w:id="1431658141">
                  <w:marLeft w:val="0"/>
                  <w:marRight w:val="0"/>
                  <w:marTop w:val="0"/>
                  <w:marBottom w:val="0"/>
                  <w:divBdr>
                    <w:top w:val="none" w:sz="0" w:space="0" w:color="auto"/>
                    <w:left w:val="none" w:sz="0" w:space="0" w:color="auto"/>
                    <w:bottom w:val="none" w:sz="0" w:space="0" w:color="auto"/>
                    <w:right w:val="none" w:sz="0" w:space="0" w:color="auto"/>
                  </w:divBdr>
                  <w:divsChild>
                    <w:div w:id="1421562261">
                      <w:marLeft w:val="0"/>
                      <w:marRight w:val="0"/>
                      <w:marTop w:val="0"/>
                      <w:marBottom w:val="0"/>
                      <w:divBdr>
                        <w:top w:val="none" w:sz="0" w:space="0" w:color="auto"/>
                        <w:left w:val="none" w:sz="0" w:space="0" w:color="auto"/>
                        <w:bottom w:val="none" w:sz="0" w:space="0" w:color="auto"/>
                        <w:right w:val="none" w:sz="0" w:space="0" w:color="auto"/>
                      </w:divBdr>
                      <w:divsChild>
                        <w:div w:id="852035046">
                          <w:marLeft w:val="0"/>
                          <w:marRight w:val="0"/>
                          <w:marTop w:val="0"/>
                          <w:marBottom w:val="0"/>
                          <w:divBdr>
                            <w:top w:val="none" w:sz="0" w:space="0" w:color="auto"/>
                            <w:left w:val="none" w:sz="0" w:space="0" w:color="auto"/>
                            <w:bottom w:val="none" w:sz="0" w:space="0" w:color="auto"/>
                            <w:right w:val="none" w:sz="0" w:space="0" w:color="auto"/>
                          </w:divBdr>
                          <w:divsChild>
                            <w:div w:id="968047608">
                              <w:marLeft w:val="0"/>
                              <w:marRight w:val="0"/>
                              <w:marTop w:val="0"/>
                              <w:marBottom w:val="0"/>
                              <w:divBdr>
                                <w:top w:val="none" w:sz="0" w:space="0" w:color="auto"/>
                                <w:left w:val="none" w:sz="0" w:space="0" w:color="auto"/>
                                <w:bottom w:val="none" w:sz="0" w:space="0" w:color="auto"/>
                                <w:right w:val="none" w:sz="0" w:space="0" w:color="auto"/>
                              </w:divBdr>
                              <w:divsChild>
                                <w:div w:id="1301838521">
                                  <w:marLeft w:val="0"/>
                                  <w:marRight w:val="0"/>
                                  <w:marTop w:val="0"/>
                                  <w:marBottom w:val="0"/>
                                  <w:divBdr>
                                    <w:top w:val="none" w:sz="0" w:space="0" w:color="auto"/>
                                    <w:left w:val="none" w:sz="0" w:space="0" w:color="auto"/>
                                    <w:bottom w:val="none" w:sz="0" w:space="0" w:color="auto"/>
                                    <w:right w:val="none" w:sz="0" w:space="0" w:color="auto"/>
                                  </w:divBdr>
                                  <w:divsChild>
                                    <w:div w:id="2125925485">
                                      <w:marLeft w:val="0"/>
                                      <w:marRight w:val="0"/>
                                      <w:marTop w:val="0"/>
                                      <w:marBottom w:val="0"/>
                                      <w:divBdr>
                                        <w:top w:val="none" w:sz="0" w:space="0" w:color="auto"/>
                                        <w:left w:val="none" w:sz="0" w:space="0" w:color="auto"/>
                                        <w:bottom w:val="none" w:sz="0" w:space="0" w:color="auto"/>
                                        <w:right w:val="none" w:sz="0" w:space="0" w:color="auto"/>
                                      </w:divBdr>
                                      <w:divsChild>
                                        <w:div w:id="1846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224025">
      <w:bodyDiv w:val="1"/>
      <w:marLeft w:val="0"/>
      <w:marRight w:val="0"/>
      <w:marTop w:val="0"/>
      <w:marBottom w:val="0"/>
      <w:divBdr>
        <w:top w:val="none" w:sz="0" w:space="0" w:color="auto"/>
        <w:left w:val="none" w:sz="0" w:space="0" w:color="auto"/>
        <w:bottom w:val="none" w:sz="0" w:space="0" w:color="auto"/>
        <w:right w:val="none" w:sz="0" w:space="0" w:color="auto"/>
      </w:divBdr>
      <w:divsChild>
        <w:div w:id="906452810">
          <w:marLeft w:val="0"/>
          <w:marRight w:val="0"/>
          <w:marTop w:val="0"/>
          <w:marBottom w:val="270"/>
          <w:divBdr>
            <w:top w:val="single" w:sz="6" w:space="8" w:color="D3D1D1"/>
            <w:left w:val="single" w:sz="6" w:space="0" w:color="D3D1D1"/>
            <w:bottom w:val="single" w:sz="6" w:space="8" w:color="D3D1D1"/>
            <w:right w:val="single" w:sz="6" w:space="0" w:color="D3D1D1"/>
          </w:divBdr>
          <w:divsChild>
            <w:div w:id="848065092">
              <w:marLeft w:val="120"/>
              <w:marRight w:val="120"/>
              <w:marTop w:val="0"/>
              <w:marBottom w:val="0"/>
              <w:divBdr>
                <w:top w:val="none" w:sz="0" w:space="0" w:color="auto"/>
                <w:left w:val="none" w:sz="0" w:space="0" w:color="auto"/>
                <w:bottom w:val="none" w:sz="0" w:space="0" w:color="auto"/>
                <w:right w:val="none" w:sz="0" w:space="0" w:color="auto"/>
              </w:divBdr>
              <w:divsChild>
                <w:div w:id="569921813">
                  <w:marLeft w:val="0"/>
                  <w:marRight w:val="0"/>
                  <w:marTop w:val="0"/>
                  <w:marBottom w:val="0"/>
                  <w:divBdr>
                    <w:top w:val="none" w:sz="0" w:space="0" w:color="auto"/>
                    <w:left w:val="none" w:sz="0" w:space="0" w:color="auto"/>
                    <w:bottom w:val="none" w:sz="0" w:space="0" w:color="auto"/>
                    <w:right w:val="none" w:sz="0" w:space="0" w:color="auto"/>
                  </w:divBdr>
                  <w:divsChild>
                    <w:div w:id="1552426608">
                      <w:marLeft w:val="0"/>
                      <w:marRight w:val="0"/>
                      <w:marTop w:val="0"/>
                      <w:marBottom w:val="0"/>
                      <w:divBdr>
                        <w:top w:val="none" w:sz="0" w:space="0" w:color="auto"/>
                        <w:left w:val="none" w:sz="0" w:space="0" w:color="auto"/>
                        <w:bottom w:val="none" w:sz="0" w:space="0" w:color="auto"/>
                        <w:right w:val="none" w:sz="0" w:space="0" w:color="auto"/>
                      </w:divBdr>
                      <w:divsChild>
                        <w:div w:id="138033102">
                          <w:marLeft w:val="0"/>
                          <w:marRight w:val="0"/>
                          <w:marTop w:val="0"/>
                          <w:marBottom w:val="0"/>
                          <w:divBdr>
                            <w:top w:val="none" w:sz="0" w:space="0" w:color="auto"/>
                            <w:left w:val="none" w:sz="0" w:space="0" w:color="auto"/>
                            <w:bottom w:val="none" w:sz="0" w:space="0" w:color="auto"/>
                            <w:right w:val="none" w:sz="0" w:space="0" w:color="auto"/>
                          </w:divBdr>
                          <w:divsChild>
                            <w:div w:id="282732714">
                              <w:marLeft w:val="0"/>
                              <w:marRight w:val="0"/>
                              <w:marTop w:val="75"/>
                              <w:marBottom w:val="0"/>
                              <w:divBdr>
                                <w:top w:val="none" w:sz="0" w:space="0" w:color="auto"/>
                                <w:left w:val="none" w:sz="0" w:space="0" w:color="auto"/>
                                <w:bottom w:val="none" w:sz="0" w:space="0" w:color="auto"/>
                                <w:right w:val="none" w:sz="0" w:space="0" w:color="auto"/>
                              </w:divBdr>
                              <w:divsChild>
                                <w:div w:id="1959339281">
                                  <w:marLeft w:val="0"/>
                                  <w:marRight w:val="0"/>
                                  <w:marTop w:val="0"/>
                                  <w:marBottom w:val="0"/>
                                  <w:divBdr>
                                    <w:top w:val="none" w:sz="0" w:space="0" w:color="auto"/>
                                    <w:left w:val="none" w:sz="0" w:space="0" w:color="auto"/>
                                    <w:bottom w:val="none" w:sz="0" w:space="0" w:color="auto"/>
                                    <w:right w:val="none" w:sz="0" w:space="0" w:color="auto"/>
                                  </w:divBdr>
                                  <w:divsChild>
                                    <w:div w:id="1740403540">
                                      <w:marLeft w:val="0"/>
                                      <w:marRight w:val="0"/>
                                      <w:marTop w:val="0"/>
                                      <w:marBottom w:val="0"/>
                                      <w:divBdr>
                                        <w:top w:val="none" w:sz="0" w:space="0" w:color="auto"/>
                                        <w:left w:val="none" w:sz="0" w:space="0" w:color="auto"/>
                                        <w:bottom w:val="none" w:sz="0" w:space="0" w:color="auto"/>
                                        <w:right w:val="none" w:sz="0" w:space="0" w:color="auto"/>
                                      </w:divBdr>
                                      <w:divsChild>
                                        <w:div w:id="105807253">
                                          <w:marLeft w:val="0"/>
                                          <w:marRight w:val="0"/>
                                          <w:marTop w:val="0"/>
                                          <w:marBottom w:val="0"/>
                                          <w:divBdr>
                                            <w:top w:val="none" w:sz="0" w:space="0" w:color="auto"/>
                                            <w:left w:val="none" w:sz="0" w:space="0" w:color="auto"/>
                                            <w:bottom w:val="none" w:sz="0" w:space="0" w:color="auto"/>
                                            <w:right w:val="none" w:sz="0" w:space="0" w:color="auto"/>
                                          </w:divBdr>
                                          <w:divsChild>
                                            <w:div w:id="7245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7642">
                          <w:marLeft w:val="0"/>
                          <w:marRight w:val="0"/>
                          <w:marTop w:val="0"/>
                          <w:marBottom w:val="0"/>
                          <w:divBdr>
                            <w:top w:val="none" w:sz="0" w:space="0" w:color="auto"/>
                            <w:left w:val="none" w:sz="0" w:space="0" w:color="auto"/>
                            <w:bottom w:val="none" w:sz="0" w:space="0" w:color="auto"/>
                            <w:right w:val="none" w:sz="0" w:space="0" w:color="auto"/>
                          </w:divBdr>
                          <w:divsChild>
                            <w:div w:id="13627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627">
                      <w:marLeft w:val="0"/>
                      <w:marRight w:val="0"/>
                      <w:marTop w:val="0"/>
                      <w:marBottom w:val="0"/>
                      <w:divBdr>
                        <w:top w:val="none" w:sz="0" w:space="0" w:color="auto"/>
                        <w:left w:val="none" w:sz="0" w:space="0" w:color="auto"/>
                        <w:bottom w:val="none" w:sz="0" w:space="0" w:color="auto"/>
                        <w:right w:val="none" w:sz="0" w:space="0" w:color="auto"/>
                      </w:divBdr>
                      <w:divsChild>
                        <w:div w:id="667295683">
                          <w:marLeft w:val="0"/>
                          <w:marRight w:val="0"/>
                          <w:marTop w:val="0"/>
                          <w:marBottom w:val="0"/>
                          <w:divBdr>
                            <w:top w:val="none" w:sz="0" w:space="0" w:color="auto"/>
                            <w:left w:val="none" w:sz="0" w:space="0" w:color="auto"/>
                            <w:bottom w:val="none" w:sz="0" w:space="0" w:color="auto"/>
                            <w:right w:val="none" w:sz="0" w:space="0" w:color="auto"/>
                          </w:divBdr>
                        </w:div>
                        <w:div w:id="185949093">
                          <w:marLeft w:val="0"/>
                          <w:marRight w:val="0"/>
                          <w:marTop w:val="0"/>
                          <w:marBottom w:val="0"/>
                          <w:divBdr>
                            <w:top w:val="none" w:sz="0" w:space="0" w:color="auto"/>
                            <w:left w:val="none" w:sz="0" w:space="0" w:color="auto"/>
                            <w:bottom w:val="none" w:sz="0" w:space="0" w:color="auto"/>
                            <w:right w:val="none" w:sz="0" w:space="0" w:color="auto"/>
                          </w:divBdr>
                        </w:div>
                        <w:div w:id="1621915077">
                          <w:marLeft w:val="0"/>
                          <w:marRight w:val="0"/>
                          <w:marTop w:val="0"/>
                          <w:marBottom w:val="0"/>
                          <w:divBdr>
                            <w:top w:val="none" w:sz="0" w:space="0" w:color="auto"/>
                            <w:left w:val="none" w:sz="0" w:space="0" w:color="auto"/>
                            <w:bottom w:val="none" w:sz="0" w:space="0" w:color="auto"/>
                            <w:right w:val="none" w:sz="0" w:space="0" w:color="auto"/>
                          </w:divBdr>
                        </w:div>
                        <w:div w:id="553582674">
                          <w:marLeft w:val="0"/>
                          <w:marRight w:val="0"/>
                          <w:marTop w:val="0"/>
                          <w:marBottom w:val="0"/>
                          <w:divBdr>
                            <w:top w:val="none" w:sz="0" w:space="0" w:color="auto"/>
                            <w:left w:val="none" w:sz="0" w:space="0" w:color="auto"/>
                            <w:bottom w:val="none" w:sz="0" w:space="0" w:color="auto"/>
                            <w:right w:val="none" w:sz="0" w:space="0" w:color="auto"/>
                          </w:divBdr>
                        </w:div>
                        <w:div w:id="1539121387">
                          <w:marLeft w:val="0"/>
                          <w:marRight w:val="0"/>
                          <w:marTop w:val="0"/>
                          <w:marBottom w:val="0"/>
                          <w:divBdr>
                            <w:top w:val="none" w:sz="0" w:space="0" w:color="auto"/>
                            <w:left w:val="none" w:sz="0" w:space="0" w:color="auto"/>
                            <w:bottom w:val="none" w:sz="0" w:space="0" w:color="auto"/>
                            <w:right w:val="none" w:sz="0" w:space="0" w:color="auto"/>
                          </w:divBdr>
                        </w:div>
                        <w:div w:id="1712415792">
                          <w:marLeft w:val="0"/>
                          <w:marRight w:val="0"/>
                          <w:marTop w:val="0"/>
                          <w:marBottom w:val="0"/>
                          <w:divBdr>
                            <w:top w:val="none" w:sz="0" w:space="0" w:color="auto"/>
                            <w:left w:val="none" w:sz="0" w:space="0" w:color="auto"/>
                            <w:bottom w:val="none" w:sz="0" w:space="0" w:color="auto"/>
                            <w:right w:val="none" w:sz="0" w:space="0" w:color="auto"/>
                          </w:divBdr>
                        </w:div>
                        <w:div w:id="994407424">
                          <w:marLeft w:val="0"/>
                          <w:marRight w:val="0"/>
                          <w:marTop w:val="0"/>
                          <w:marBottom w:val="0"/>
                          <w:divBdr>
                            <w:top w:val="none" w:sz="0" w:space="0" w:color="auto"/>
                            <w:left w:val="none" w:sz="0" w:space="0" w:color="auto"/>
                            <w:bottom w:val="none" w:sz="0" w:space="0" w:color="auto"/>
                            <w:right w:val="none" w:sz="0" w:space="0" w:color="auto"/>
                          </w:divBdr>
                        </w:div>
                        <w:div w:id="1034887825">
                          <w:marLeft w:val="0"/>
                          <w:marRight w:val="0"/>
                          <w:marTop w:val="0"/>
                          <w:marBottom w:val="0"/>
                          <w:divBdr>
                            <w:top w:val="none" w:sz="0" w:space="0" w:color="auto"/>
                            <w:left w:val="none" w:sz="0" w:space="0" w:color="auto"/>
                            <w:bottom w:val="none" w:sz="0" w:space="0" w:color="auto"/>
                            <w:right w:val="none" w:sz="0" w:space="0" w:color="auto"/>
                          </w:divBdr>
                        </w:div>
                        <w:div w:id="1340162326">
                          <w:marLeft w:val="0"/>
                          <w:marRight w:val="0"/>
                          <w:marTop w:val="0"/>
                          <w:marBottom w:val="0"/>
                          <w:divBdr>
                            <w:top w:val="none" w:sz="0" w:space="0" w:color="auto"/>
                            <w:left w:val="none" w:sz="0" w:space="0" w:color="auto"/>
                            <w:bottom w:val="none" w:sz="0" w:space="0" w:color="auto"/>
                            <w:right w:val="none" w:sz="0" w:space="0" w:color="auto"/>
                          </w:divBdr>
                        </w:div>
                        <w:div w:id="2063670511">
                          <w:marLeft w:val="0"/>
                          <w:marRight w:val="0"/>
                          <w:marTop w:val="0"/>
                          <w:marBottom w:val="0"/>
                          <w:divBdr>
                            <w:top w:val="none" w:sz="0" w:space="0" w:color="auto"/>
                            <w:left w:val="none" w:sz="0" w:space="0" w:color="auto"/>
                            <w:bottom w:val="none" w:sz="0" w:space="0" w:color="auto"/>
                            <w:right w:val="none" w:sz="0" w:space="0" w:color="auto"/>
                          </w:divBdr>
                        </w:div>
                        <w:div w:id="1761834392">
                          <w:marLeft w:val="0"/>
                          <w:marRight w:val="0"/>
                          <w:marTop w:val="0"/>
                          <w:marBottom w:val="0"/>
                          <w:divBdr>
                            <w:top w:val="none" w:sz="0" w:space="0" w:color="auto"/>
                            <w:left w:val="none" w:sz="0" w:space="0" w:color="auto"/>
                            <w:bottom w:val="none" w:sz="0" w:space="0" w:color="auto"/>
                            <w:right w:val="none" w:sz="0" w:space="0" w:color="auto"/>
                          </w:divBdr>
                          <w:divsChild>
                            <w:div w:id="3606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64656">
      <w:bodyDiv w:val="1"/>
      <w:marLeft w:val="0"/>
      <w:marRight w:val="0"/>
      <w:marTop w:val="0"/>
      <w:marBottom w:val="0"/>
      <w:divBdr>
        <w:top w:val="none" w:sz="0" w:space="0" w:color="auto"/>
        <w:left w:val="none" w:sz="0" w:space="0" w:color="auto"/>
        <w:bottom w:val="none" w:sz="0" w:space="0" w:color="auto"/>
        <w:right w:val="none" w:sz="0" w:space="0" w:color="auto"/>
      </w:divBdr>
      <w:divsChild>
        <w:div w:id="1338847301">
          <w:marLeft w:val="0"/>
          <w:marRight w:val="0"/>
          <w:marTop w:val="0"/>
          <w:marBottom w:val="0"/>
          <w:divBdr>
            <w:top w:val="none" w:sz="0" w:space="0" w:color="auto"/>
            <w:left w:val="none" w:sz="0" w:space="0" w:color="auto"/>
            <w:bottom w:val="none" w:sz="0" w:space="0" w:color="auto"/>
            <w:right w:val="none" w:sz="0" w:space="0" w:color="auto"/>
          </w:divBdr>
          <w:divsChild>
            <w:div w:id="970474162">
              <w:marLeft w:val="0"/>
              <w:marRight w:val="0"/>
              <w:marTop w:val="0"/>
              <w:marBottom w:val="0"/>
              <w:divBdr>
                <w:top w:val="none" w:sz="0" w:space="0" w:color="auto"/>
                <w:left w:val="none" w:sz="0" w:space="0" w:color="auto"/>
                <w:bottom w:val="none" w:sz="0" w:space="0" w:color="auto"/>
                <w:right w:val="none" w:sz="0" w:space="0" w:color="auto"/>
              </w:divBdr>
              <w:divsChild>
                <w:div w:id="2094741960">
                  <w:marLeft w:val="0"/>
                  <w:marRight w:val="0"/>
                  <w:marTop w:val="0"/>
                  <w:marBottom w:val="0"/>
                  <w:divBdr>
                    <w:top w:val="none" w:sz="0" w:space="0" w:color="auto"/>
                    <w:left w:val="none" w:sz="0" w:space="0" w:color="auto"/>
                    <w:bottom w:val="none" w:sz="0" w:space="0" w:color="auto"/>
                    <w:right w:val="none" w:sz="0" w:space="0" w:color="auto"/>
                  </w:divBdr>
                  <w:divsChild>
                    <w:div w:id="2129466688">
                      <w:marLeft w:val="0"/>
                      <w:marRight w:val="0"/>
                      <w:marTop w:val="0"/>
                      <w:marBottom w:val="0"/>
                      <w:divBdr>
                        <w:top w:val="none" w:sz="0" w:space="0" w:color="auto"/>
                        <w:left w:val="none" w:sz="0" w:space="0" w:color="auto"/>
                        <w:bottom w:val="none" w:sz="0" w:space="0" w:color="auto"/>
                        <w:right w:val="none" w:sz="0" w:space="0" w:color="auto"/>
                      </w:divBdr>
                      <w:divsChild>
                        <w:div w:id="1175919263">
                          <w:marLeft w:val="0"/>
                          <w:marRight w:val="0"/>
                          <w:marTop w:val="0"/>
                          <w:marBottom w:val="0"/>
                          <w:divBdr>
                            <w:top w:val="none" w:sz="0" w:space="0" w:color="auto"/>
                            <w:left w:val="none" w:sz="0" w:space="0" w:color="auto"/>
                            <w:bottom w:val="none" w:sz="0" w:space="0" w:color="auto"/>
                            <w:right w:val="none" w:sz="0" w:space="0" w:color="auto"/>
                          </w:divBdr>
                        </w:div>
                        <w:div w:id="1894152206">
                          <w:marLeft w:val="0"/>
                          <w:marRight w:val="0"/>
                          <w:marTop w:val="0"/>
                          <w:marBottom w:val="0"/>
                          <w:divBdr>
                            <w:top w:val="none" w:sz="0" w:space="0" w:color="auto"/>
                            <w:left w:val="none" w:sz="0" w:space="0" w:color="auto"/>
                            <w:bottom w:val="none" w:sz="0" w:space="0" w:color="auto"/>
                            <w:right w:val="none" w:sz="0" w:space="0" w:color="auto"/>
                          </w:divBdr>
                        </w:div>
                        <w:div w:id="1875264957">
                          <w:marLeft w:val="0"/>
                          <w:marRight w:val="0"/>
                          <w:marTop w:val="0"/>
                          <w:marBottom w:val="0"/>
                          <w:divBdr>
                            <w:top w:val="none" w:sz="0" w:space="0" w:color="auto"/>
                            <w:left w:val="none" w:sz="0" w:space="0" w:color="auto"/>
                            <w:bottom w:val="none" w:sz="0" w:space="0" w:color="auto"/>
                            <w:right w:val="none" w:sz="0" w:space="0" w:color="auto"/>
                          </w:divBdr>
                        </w:div>
                      </w:divsChild>
                    </w:div>
                    <w:div w:id="101076373">
                      <w:marLeft w:val="0"/>
                      <w:marRight w:val="0"/>
                      <w:marTop w:val="0"/>
                      <w:marBottom w:val="0"/>
                      <w:divBdr>
                        <w:top w:val="none" w:sz="0" w:space="0" w:color="auto"/>
                        <w:left w:val="none" w:sz="0" w:space="0" w:color="auto"/>
                        <w:bottom w:val="none" w:sz="0" w:space="0" w:color="auto"/>
                        <w:right w:val="none" w:sz="0" w:space="0" w:color="auto"/>
                      </w:divBdr>
                      <w:divsChild>
                        <w:div w:id="927083917">
                          <w:marLeft w:val="0"/>
                          <w:marRight w:val="0"/>
                          <w:marTop w:val="0"/>
                          <w:marBottom w:val="0"/>
                          <w:divBdr>
                            <w:top w:val="none" w:sz="0" w:space="0" w:color="auto"/>
                            <w:left w:val="none" w:sz="0" w:space="0" w:color="auto"/>
                            <w:bottom w:val="none" w:sz="0" w:space="0" w:color="auto"/>
                            <w:right w:val="none" w:sz="0" w:space="0" w:color="auto"/>
                          </w:divBdr>
                        </w:div>
                        <w:div w:id="7446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77725">
      <w:bodyDiv w:val="1"/>
      <w:marLeft w:val="0"/>
      <w:marRight w:val="0"/>
      <w:marTop w:val="0"/>
      <w:marBottom w:val="0"/>
      <w:divBdr>
        <w:top w:val="single" w:sz="24" w:space="0" w:color="FF3300"/>
        <w:left w:val="none" w:sz="0" w:space="0" w:color="auto"/>
        <w:bottom w:val="none" w:sz="0" w:space="0" w:color="auto"/>
        <w:right w:val="none" w:sz="0" w:space="0" w:color="auto"/>
      </w:divBdr>
      <w:divsChild>
        <w:div w:id="698244305">
          <w:marLeft w:val="0"/>
          <w:marRight w:val="0"/>
          <w:marTop w:val="0"/>
          <w:marBottom w:val="180"/>
          <w:divBdr>
            <w:top w:val="none" w:sz="0" w:space="0" w:color="auto"/>
            <w:left w:val="none" w:sz="0" w:space="0" w:color="auto"/>
            <w:bottom w:val="none" w:sz="0" w:space="0" w:color="auto"/>
            <w:right w:val="none" w:sz="0" w:space="0" w:color="auto"/>
          </w:divBdr>
          <w:divsChild>
            <w:div w:id="1389718563">
              <w:marLeft w:val="0"/>
              <w:marRight w:val="0"/>
              <w:marTop w:val="0"/>
              <w:marBottom w:val="0"/>
              <w:divBdr>
                <w:top w:val="none" w:sz="0" w:space="0" w:color="auto"/>
                <w:left w:val="none" w:sz="0" w:space="0" w:color="auto"/>
                <w:bottom w:val="none" w:sz="0" w:space="0" w:color="auto"/>
                <w:right w:val="none" w:sz="0" w:space="0" w:color="auto"/>
              </w:divBdr>
              <w:divsChild>
                <w:div w:id="958295740">
                  <w:marLeft w:val="0"/>
                  <w:marRight w:val="0"/>
                  <w:marTop w:val="0"/>
                  <w:marBottom w:val="0"/>
                  <w:divBdr>
                    <w:top w:val="none" w:sz="0" w:space="0" w:color="auto"/>
                    <w:left w:val="none" w:sz="0" w:space="0" w:color="auto"/>
                    <w:bottom w:val="none" w:sz="0" w:space="0" w:color="auto"/>
                    <w:right w:val="none" w:sz="0" w:space="0" w:color="auto"/>
                  </w:divBdr>
                  <w:divsChild>
                    <w:div w:id="1759017500">
                      <w:marLeft w:val="0"/>
                      <w:marRight w:val="0"/>
                      <w:marTop w:val="0"/>
                      <w:marBottom w:val="0"/>
                      <w:divBdr>
                        <w:top w:val="none" w:sz="0" w:space="0" w:color="auto"/>
                        <w:left w:val="none" w:sz="0" w:space="0" w:color="auto"/>
                        <w:bottom w:val="none" w:sz="0" w:space="0" w:color="auto"/>
                        <w:right w:val="none" w:sz="0" w:space="0" w:color="auto"/>
                      </w:divBdr>
                      <w:divsChild>
                        <w:div w:id="13074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alandurologynews.com/anemia/section/624/" TargetMode="External"/><Relationship Id="rId18" Type="http://schemas.openxmlformats.org/officeDocument/2006/relationships/hyperlink" Target="file:///C:\search_results.php%3fsearch_term=postoperative&amp;c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guardian.com/world/madagascar" TargetMode="External"/><Relationship Id="rId7" Type="http://schemas.openxmlformats.org/officeDocument/2006/relationships/footnotes" Target="footnotes.xml"/><Relationship Id="rId12" Type="http://schemas.openxmlformats.org/officeDocument/2006/relationships/hyperlink" Target="http://www.renalandurologynews.com/cardiovascular-disease-cvd/section/627/" TargetMode="External"/><Relationship Id="rId17" Type="http://schemas.openxmlformats.org/officeDocument/2006/relationships/hyperlink" Target="file:///C:\search_results.php%3fsearch_term=hemoglobin&amp;c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search_results.php%3fsearch_term=oncology&amp;cat=a" TargetMode="External"/><Relationship Id="rId20" Type="http://schemas.openxmlformats.org/officeDocument/2006/relationships/hyperlink" Target="file:///C:\search_results.php%3fsearch_term=anemia&amp;c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aw.nl/en/news/news/early-assessment-of-science-versus-security-vital-for-biosecurit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search_results.php%3fsearch_term=gynecologic&amp;cat=a" TargetMode="External"/><Relationship Id="rId23" Type="http://schemas.openxmlformats.org/officeDocument/2006/relationships/hyperlink" Target="http://www.theguardian.com/tv-and-radio/documentary" TargetMode="External"/><Relationship Id="rId10" Type="http://schemas.openxmlformats.org/officeDocument/2006/relationships/image" Target="media/image2.gif"/><Relationship Id="rId19" Type="http://schemas.openxmlformats.org/officeDocument/2006/relationships/hyperlink" Target="file:///C:\search_results.php%3fsearch_term=asymptomatic&amp;cat=a" TargetMode="External"/><Relationship Id="rId4" Type="http://schemas.microsoft.com/office/2007/relationships/stylesWithEffects" Target="stylesWithEffects.xml"/><Relationship Id="rId9" Type="http://schemas.openxmlformats.org/officeDocument/2006/relationships/hyperlink" Target="http://bionews-tx.com/news/news-tags/cystic-fibrosis/" TargetMode="External"/><Relationship Id="rId14" Type="http://schemas.openxmlformats.org/officeDocument/2006/relationships/hyperlink" Target="http://www.thespec.com/news-story/4424277-province-moves-to-halt-pay-for-plasma-clinics/" TargetMode="External"/><Relationship Id="rId22" Type="http://schemas.openxmlformats.org/officeDocument/2006/relationships/hyperlink" Target="http://www.theguardian.com/world/epidem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artdisease.about.com/od/coronaryarterydisease/g/coronary_art.htm" TargetMode="External"/><Relationship Id="rId7" Type="http://schemas.openxmlformats.org/officeDocument/2006/relationships/hyperlink" Target="http://pilladvised.com/2014/03/good-gut-bacteria-help-fight-infection/" TargetMode="External"/><Relationship Id="rId2" Type="http://schemas.openxmlformats.org/officeDocument/2006/relationships/hyperlink" Target="http://heartdisease.about.com/od/heartattack/g/infarction.htm" TargetMode="External"/><Relationship Id="rId1" Type="http://schemas.openxmlformats.org/officeDocument/2006/relationships/hyperlink" Target="http://circoutcomes.ahajournals.org/content/early/2014/03/04/CIRCOUTCOMES.113.000715.short?rss=1" TargetMode="External"/><Relationship Id="rId6" Type="http://schemas.openxmlformats.org/officeDocument/2006/relationships/hyperlink" Target="tel:(2014)%20265-277" TargetMode="External"/><Relationship Id="rId5" Type="http://schemas.openxmlformats.org/officeDocument/2006/relationships/hyperlink" Target="http://www.biomedcentral.com/1471-2393/14/87" TargetMode="External"/><Relationship Id="rId4" Type="http://schemas.openxmlformats.org/officeDocument/2006/relationships/hyperlink" Target="file:///C:\search_results.php%3fsearch_term=endometrial&amp;ca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CC28-A102-40F7-9F2A-0405A80D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Johnson, Emma</cp:lastModifiedBy>
  <cp:revision>5</cp:revision>
  <cp:lastPrinted>2014-05-01T03:46:00Z</cp:lastPrinted>
  <dcterms:created xsi:type="dcterms:W3CDTF">2014-04-28T02:20:00Z</dcterms:created>
  <dcterms:modified xsi:type="dcterms:W3CDTF">2014-05-02T00:55:00Z</dcterms:modified>
</cp:coreProperties>
</file>